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89A" w:rsidRPr="00BD3667" w:rsidRDefault="008C4819" w:rsidP="003F14F8">
      <w:pPr>
        <w:pStyle w:val="Footer"/>
        <w:suppressAutoHyphens w:val="0"/>
      </w:pPr>
      <w:bookmarkStart w:id="0" w:name="_Toc169083309"/>
      <w:r>
        <w:rPr>
          <w:noProof/>
          <w:lang w:val="en-IE" w:eastAsia="en-IE"/>
        </w:rPr>
        <mc:AlternateContent>
          <mc:Choice Requires="wps">
            <w:drawing>
              <wp:anchor distT="0" distB="0" distL="114300" distR="114300" simplePos="0" relativeHeight="251655168" behindDoc="0" locked="0" layoutInCell="1" allowOverlap="1">
                <wp:simplePos x="0" y="0"/>
                <wp:positionH relativeFrom="column">
                  <wp:posOffset>2199005</wp:posOffset>
                </wp:positionH>
                <wp:positionV relativeFrom="paragraph">
                  <wp:posOffset>-876935</wp:posOffset>
                </wp:positionV>
                <wp:extent cx="4367530" cy="1519555"/>
                <wp:effectExtent l="0" t="0" r="13970" b="4445"/>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5E3" w:rsidRPr="003A4757" w:rsidRDefault="006B65E3" w:rsidP="00D807D5">
                            <w:pPr>
                              <w:jc w:val="right"/>
                              <w:rPr>
                                <w:color w:val="3B3D3C"/>
                                <w:sz w:val="28"/>
                                <w:szCs w:val="28"/>
                              </w:rPr>
                            </w:pPr>
                            <w:r w:rsidRPr="006A79EF">
                              <w:rPr>
                                <w:sz w:val="40"/>
                              </w:rPr>
                              <w:br w:type="page"/>
                            </w:r>
                            <w:r w:rsidRPr="006A79EF">
                              <w:rPr>
                                <w:color w:val="3B3D3C"/>
                                <w:sz w:val="40"/>
                              </w:rPr>
                              <w:t xml:space="preserve"> </w:t>
                            </w:r>
                            <w:r>
                              <w:rPr>
                                <w:sz w:val="28"/>
                                <w:szCs w:val="28"/>
                              </w:rPr>
                              <w:t xml:space="preserve">Socio-cultural Valuation and Valuation Methods: </w:t>
                            </w:r>
                          </w:p>
                          <w:p w:rsidR="006B65E3" w:rsidRDefault="006B65E3" w:rsidP="00D82761">
                            <w:pPr>
                              <w:jc w:val="right"/>
                            </w:pPr>
                          </w:p>
                          <w:p w:rsidR="006B65E3" w:rsidRPr="006A79EF" w:rsidRDefault="006B65E3" w:rsidP="00360E99">
                            <w:pPr>
                              <w:jc w:val="left"/>
                              <w:rPr>
                                <w:color w:val="3B3D3C"/>
                              </w:rPr>
                            </w:pPr>
                            <w:r w:rsidRPr="008125BB">
                              <w:rPr>
                                <w:color w:val="3B3D3C"/>
                                <w:lang w:val="nl-NL"/>
                              </w:rPr>
                              <w:t xml:space="preserve">Craig Bullock, Deirdre Joyce, Marcus Collier, Samantha Scholte, Boris Zanten, Peter Verburg, Astrid van Teeffelen, Katja Schmidt, Ariane Walz.  </w:t>
                            </w:r>
                            <w:r>
                              <w:rPr>
                                <w:color w:val="3B3D3C"/>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73.15pt;margin-top:-69.05pt;width:343.9pt;height:11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1SrgIAAKw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" filled="f" stroked="f">
                <v:textbox inset="0,0,0,0">
                  <w:txbxContent>
                    <w:p w:rsidR="006B65E3" w:rsidRPr="003A4757" w:rsidRDefault="006B65E3" w:rsidP="00D807D5">
                      <w:pPr>
                        <w:jc w:val="right"/>
                        <w:rPr>
                          <w:color w:val="3B3D3C"/>
                          <w:sz w:val="28"/>
                          <w:szCs w:val="28"/>
                        </w:rPr>
                      </w:pPr>
                      <w:r w:rsidRPr="006A79EF">
                        <w:rPr>
                          <w:sz w:val="40"/>
                        </w:rPr>
                        <w:br w:type="page"/>
                      </w:r>
                      <w:r w:rsidRPr="006A79EF">
                        <w:rPr>
                          <w:color w:val="3B3D3C"/>
                          <w:sz w:val="40"/>
                        </w:rPr>
                        <w:t xml:space="preserve"> </w:t>
                      </w:r>
                      <w:r>
                        <w:rPr>
                          <w:sz w:val="28"/>
                          <w:szCs w:val="28"/>
                        </w:rPr>
                        <w:t xml:space="preserve">Socio-cultural Valuation and Valuation Methods: </w:t>
                      </w:r>
                    </w:p>
                    <w:p w:rsidR="006B65E3" w:rsidRDefault="006B65E3" w:rsidP="00D82761">
                      <w:pPr>
                        <w:jc w:val="right"/>
                      </w:pPr>
                    </w:p>
                    <w:p w:rsidR="006B65E3" w:rsidRPr="006A79EF" w:rsidRDefault="006B65E3" w:rsidP="00360E99">
                      <w:pPr>
                        <w:jc w:val="left"/>
                        <w:rPr>
                          <w:color w:val="3B3D3C"/>
                        </w:rPr>
                      </w:pPr>
                      <w:r w:rsidRPr="008125BB">
                        <w:rPr>
                          <w:color w:val="3B3D3C"/>
                          <w:lang w:val="nl-NL"/>
                        </w:rPr>
                        <w:t xml:space="preserve">Craig Bullock, Deirdre Joyce, Marcus Collier, Samantha Scholte, Boris Zanten, Peter Verburg, Astrid van Teeffelen, Katja Schmidt, Ariane Walz.  </w:t>
                      </w:r>
                      <w:r>
                        <w:rPr>
                          <w:color w:val="3B3D3C"/>
                        </w:rPr>
                        <w:t>November 2015</w:t>
                      </w:r>
                    </w:p>
                  </w:txbxContent>
                </v:textbox>
              </v:shape>
            </w:pict>
          </mc:Fallback>
        </mc:AlternateContent>
      </w:r>
      <w:r>
        <w:rPr>
          <w:noProof/>
          <w:lang w:val="en-IE" w:eastAsia="en-IE"/>
        </w:rPr>
        <w:drawing>
          <wp:anchor distT="0" distB="0" distL="114300" distR="114300" simplePos="0" relativeHeight="251657216" behindDoc="0" locked="0" layoutInCell="1" allowOverlap="1">
            <wp:simplePos x="0" y="0"/>
            <wp:positionH relativeFrom="page">
              <wp:posOffset>0</wp:posOffset>
            </wp:positionH>
            <wp:positionV relativeFrom="paragraph">
              <wp:posOffset>8151495</wp:posOffset>
            </wp:positionV>
            <wp:extent cx="7569835" cy="1814195"/>
            <wp:effectExtent l="0" t="0" r="0" b="0"/>
            <wp:wrapNone/>
            <wp:docPr id="12" name="Picture 1" descr="OPERAsWordReport-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sWordReport-Foo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35" cy="18141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4144" behindDoc="0" locked="0" layoutInCell="1" allowOverlap="1">
            <wp:simplePos x="0" y="0"/>
            <wp:positionH relativeFrom="column">
              <wp:posOffset>-716280</wp:posOffset>
            </wp:positionH>
            <wp:positionV relativeFrom="paragraph">
              <wp:posOffset>-723900</wp:posOffset>
            </wp:positionV>
            <wp:extent cx="7562215" cy="1466215"/>
            <wp:effectExtent l="0" t="0" r="635" b="635"/>
            <wp:wrapNone/>
            <wp:docPr id="8"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215" cy="146621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3F789A" w:rsidP="003F14F8">
      <w:pPr>
        <w:tabs>
          <w:tab w:val="left" w:pos="4185"/>
        </w:tabs>
        <w:suppressAutoHyphens w:val="0"/>
      </w:pPr>
    </w:p>
    <w:p w:rsidR="003F789A" w:rsidRPr="00BD3667" w:rsidRDefault="008C4819" w:rsidP="003F14F8">
      <w:pPr>
        <w:tabs>
          <w:tab w:val="left" w:pos="4185"/>
        </w:tabs>
        <w:suppressAutoHyphens w:val="0"/>
        <w:jc w:val="center"/>
      </w:pPr>
      <w:r>
        <w:rPr>
          <w:noProof/>
          <w:lang w:val="en-IE" w:eastAsia="en-IE"/>
        </w:rPr>
        <w:drawing>
          <wp:inline distT="0" distB="0" distL="0" distR="0">
            <wp:extent cx="6055360" cy="2129790"/>
            <wp:effectExtent l="0" t="0" r="2540" b="381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5360" cy="2129790"/>
                    </a:xfrm>
                    <a:prstGeom prst="rect">
                      <a:avLst/>
                    </a:prstGeom>
                    <a:noFill/>
                    <a:ln>
                      <a:noFill/>
                    </a:ln>
                  </pic:spPr>
                </pic:pic>
              </a:graphicData>
            </a:graphic>
          </wp:inline>
        </w:drawing>
      </w:r>
    </w:p>
    <w:p w:rsidR="003F789A" w:rsidRPr="00BD3667" w:rsidRDefault="003F789A" w:rsidP="003F14F8">
      <w:pPr>
        <w:suppressAutoHyphens w:val="0"/>
      </w:pPr>
    </w:p>
    <w:p w:rsidR="003F789A" w:rsidRPr="00BD3667" w:rsidRDefault="003F789A" w:rsidP="003F14F8">
      <w:pPr>
        <w:suppressAutoHyphens w:val="0"/>
        <w:sectPr w:rsidR="003F789A" w:rsidRPr="00BD3667" w:rsidSect="00B86FA3">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985" w:left="1440" w:header="709" w:footer="709" w:gutter="0"/>
          <w:cols w:space="284"/>
        </w:sectPr>
      </w:pPr>
    </w:p>
    <w:p w:rsidR="003F789A" w:rsidRPr="00BD3667" w:rsidRDefault="003F789A" w:rsidP="003F14F8">
      <w:pPr>
        <w:suppressAutoHyphens w:val="0"/>
      </w:pPr>
    </w:p>
    <w:p w:rsidR="003F789A" w:rsidRPr="00BD3667" w:rsidRDefault="003F789A" w:rsidP="003F14F8">
      <w:pPr>
        <w:suppressAutoHyphens w:val="0"/>
        <w:rPr>
          <w:b/>
        </w:rPr>
      </w:pPr>
      <w:r w:rsidRPr="00BD3667">
        <w:rPr>
          <w:b/>
        </w:rPr>
        <w:t>Prepared under contract from the European Commission</w:t>
      </w:r>
    </w:p>
    <w:p w:rsidR="003F789A" w:rsidRPr="00BD3667" w:rsidRDefault="003F789A" w:rsidP="003F14F8">
      <w:pPr>
        <w:suppressAutoHyphens w:val="0"/>
      </w:pPr>
      <w:r w:rsidRPr="00BD3667">
        <w:t>Project reference: 308393</w:t>
      </w:r>
    </w:p>
    <w:p w:rsidR="003F789A" w:rsidRPr="00BD3667" w:rsidRDefault="003F789A" w:rsidP="003F14F8">
      <w:pPr>
        <w:suppressAutoHyphens w:val="0"/>
      </w:pPr>
      <w:r w:rsidRPr="00BD3667">
        <w:t>Collaborative project</w:t>
      </w:r>
    </w:p>
    <w:p w:rsidR="003F789A" w:rsidRPr="00BD3667" w:rsidRDefault="003F789A" w:rsidP="003F14F8">
      <w:pPr>
        <w:suppressAutoHyphens w:val="0"/>
      </w:pPr>
      <w:r w:rsidRPr="00BD3667">
        <w:t>FP7 Environment</w:t>
      </w:r>
    </w:p>
    <w:p w:rsidR="003F789A" w:rsidRPr="00BD3667" w:rsidRDefault="003F789A" w:rsidP="003F14F8">
      <w:pPr>
        <w:suppressAutoHyphens w:val="0"/>
      </w:pPr>
    </w:p>
    <w:p w:rsidR="003F789A" w:rsidRPr="00BD3667" w:rsidRDefault="003F789A" w:rsidP="003F14F8">
      <w:pPr>
        <w:suppressAutoHyphens w:val="0"/>
      </w:pPr>
      <w:r w:rsidRPr="00BD3667">
        <w:t xml:space="preserve">Project acronym: </w:t>
      </w:r>
      <w:r w:rsidRPr="00BD3667">
        <w:rPr>
          <w:b/>
        </w:rPr>
        <w:t>OPERAs</w:t>
      </w:r>
    </w:p>
    <w:p w:rsidR="003F789A" w:rsidRPr="00BD3667" w:rsidRDefault="003F789A" w:rsidP="003F14F8">
      <w:pPr>
        <w:suppressAutoHyphens w:val="0"/>
      </w:pPr>
      <w:r w:rsidRPr="00BD3667">
        <w:t xml:space="preserve">Project full title: </w:t>
      </w:r>
      <w:r w:rsidRPr="00BD3667">
        <w:rPr>
          <w:b/>
        </w:rPr>
        <w:t>Operational</w:t>
      </w:r>
      <w:r w:rsidRPr="00BD3667">
        <w:t xml:space="preserve"> </w:t>
      </w:r>
      <w:r w:rsidRPr="00BD3667">
        <w:rPr>
          <w:b/>
        </w:rPr>
        <w:t>Potential of Ecosystem Research Applications</w:t>
      </w:r>
    </w:p>
    <w:p w:rsidR="003F789A" w:rsidRPr="00BD3667" w:rsidRDefault="003F789A" w:rsidP="003F14F8">
      <w:pPr>
        <w:suppressAutoHyphens w:val="0"/>
      </w:pPr>
      <w:r w:rsidRPr="00BD3667">
        <w:t>Start of the project: 1 December 2012</w:t>
      </w:r>
    </w:p>
    <w:p w:rsidR="003F789A" w:rsidRPr="00BD3667" w:rsidRDefault="003F789A" w:rsidP="003F14F8">
      <w:pPr>
        <w:suppressAutoHyphens w:val="0"/>
      </w:pPr>
      <w:r w:rsidRPr="00BD3667">
        <w:t>Duration: 54 months</w:t>
      </w:r>
    </w:p>
    <w:p w:rsidR="003F789A" w:rsidRPr="00BD3667" w:rsidRDefault="003F789A" w:rsidP="003F14F8">
      <w:pPr>
        <w:suppressAutoHyphens w:val="0"/>
      </w:pPr>
      <w:r w:rsidRPr="00BD3667">
        <w:t>Project coordinator: The University of Edinburgh</w:t>
      </w:r>
    </w:p>
    <w:p w:rsidR="003F789A" w:rsidRPr="00BD3667" w:rsidRDefault="003F789A" w:rsidP="003F14F8">
      <w:pPr>
        <w:suppressAutoHyphens w:val="0"/>
      </w:pPr>
      <w:r w:rsidRPr="00BD3667">
        <w:t xml:space="preserve">Project website: </w:t>
      </w:r>
      <w:hyperlink r:id="rId17" w:history="1">
        <w:r w:rsidRPr="00BD3667">
          <w:rPr>
            <w:rStyle w:val="Hyperlink"/>
          </w:rPr>
          <w:t>operas-project.eu</w:t>
        </w:r>
      </w:hyperlink>
    </w:p>
    <w:p w:rsidR="003F789A" w:rsidRPr="00BD3667" w:rsidRDefault="003F789A" w:rsidP="003F14F8">
      <w:pPr>
        <w:suppressAutoHyphens w:val="0"/>
      </w:pPr>
    </w:p>
    <w:p w:rsidR="003F789A" w:rsidRPr="00386907" w:rsidRDefault="003F789A" w:rsidP="003F14F8">
      <w:pPr>
        <w:suppressAutoHyphens w:val="0"/>
        <w:jc w:val="left"/>
        <w:rPr>
          <w:szCs w:val="22"/>
        </w:rPr>
      </w:pPr>
      <w:r w:rsidRPr="00386907">
        <w:rPr>
          <w:szCs w:val="22"/>
        </w:rPr>
        <w:t xml:space="preserve">Milestone title: </w:t>
      </w:r>
      <w:r>
        <w:rPr>
          <w:szCs w:val="22"/>
        </w:rPr>
        <w:t>Socio-cultural valuation</w:t>
      </w:r>
      <w:r w:rsidRPr="00386907">
        <w:rPr>
          <w:szCs w:val="22"/>
        </w:rPr>
        <w:t>: State of the Art</w:t>
      </w:r>
    </w:p>
    <w:p w:rsidR="003F789A" w:rsidRPr="00BD3667" w:rsidRDefault="003F789A" w:rsidP="003F14F8">
      <w:pPr>
        <w:suppressAutoHyphens w:val="0"/>
        <w:jc w:val="left"/>
        <w:rPr>
          <w:szCs w:val="22"/>
        </w:rPr>
      </w:pPr>
      <w:r>
        <w:rPr>
          <w:szCs w:val="22"/>
        </w:rPr>
        <w:t xml:space="preserve">Deliverable </w:t>
      </w:r>
      <w:r w:rsidRPr="00BD3667">
        <w:rPr>
          <w:szCs w:val="22"/>
        </w:rPr>
        <w:t>number: 3.</w:t>
      </w:r>
      <w:r>
        <w:rPr>
          <w:szCs w:val="22"/>
        </w:rPr>
        <w:t>2</w:t>
      </w:r>
    </w:p>
    <w:p w:rsidR="003F789A" w:rsidRPr="00BD3667" w:rsidRDefault="003F789A" w:rsidP="003F14F8">
      <w:pPr>
        <w:suppressAutoHyphens w:val="0"/>
        <w:jc w:val="left"/>
        <w:rPr>
          <w:szCs w:val="22"/>
        </w:rPr>
      </w:pPr>
      <w:r w:rsidRPr="00BD3667">
        <w:rPr>
          <w:szCs w:val="22"/>
        </w:rPr>
        <w:t>Nature of the deliverable: Discussion note</w:t>
      </w:r>
    </w:p>
    <w:p w:rsidR="003F789A" w:rsidRPr="00BD3667" w:rsidRDefault="003F789A" w:rsidP="003F14F8">
      <w:pPr>
        <w:suppressAutoHyphens w:val="0"/>
        <w:jc w:val="left"/>
        <w:rPr>
          <w:szCs w:val="22"/>
        </w:rPr>
      </w:pPr>
      <w:r>
        <w:rPr>
          <w:szCs w:val="22"/>
        </w:rPr>
        <w:t>Work package responsible: WP3</w:t>
      </w:r>
    </w:p>
    <w:p w:rsidR="003F789A" w:rsidRPr="00BD3667" w:rsidRDefault="003F789A" w:rsidP="003F14F8">
      <w:pPr>
        <w:suppressAutoHyphens w:val="0"/>
        <w:jc w:val="left"/>
        <w:rPr>
          <w:szCs w:val="22"/>
        </w:rPr>
      </w:pPr>
      <w:r w:rsidRPr="00BD3667">
        <w:rPr>
          <w:szCs w:val="22"/>
        </w:rPr>
        <w:t xml:space="preserve">Partner responsible: </w:t>
      </w:r>
      <w:r>
        <w:rPr>
          <w:szCs w:val="22"/>
        </w:rPr>
        <w:t>UCD</w:t>
      </w:r>
    </w:p>
    <w:p w:rsidR="003F789A" w:rsidRPr="00BD3667" w:rsidRDefault="003F789A" w:rsidP="003F14F8">
      <w:pPr>
        <w:suppressAutoHyphens w:val="0"/>
        <w:jc w:val="left"/>
        <w:rPr>
          <w:szCs w:val="22"/>
        </w:rPr>
      </w:pPr>
      <w:r w:rsidRPr="00BD3667">
        <w:rPr>
          <w:szCs w:val="22"/>
        </w:rPr>
        <w:t xml:space="preserve">Other partners involved: </w:t>
      </w:r>
      <w:r>
        <w:rPr>
          <w:szCs w:val="22"/>
        </w:rPr>
        <w:t>IVM, UP, WWF</w:t>
      </w:r>
    </w:p>
    <w:p w:rsidR="003F789A" w:rsidRPr="00BD3667" w:rsidRDefault="003F789A" w:rsidP="003F14F8">
      <w:pPr>
        <w:suppressAutoHyphens w:val="0"/>
        <w:jc w:val="left"/>
        <w:rPr>
          <w:szCs w:val="22"/>
        </w:rPr>
      </w:pPr>
      <w:r w:rsidRPr="00BD3667">
        <w:rPr>
          <w:szCs w:val="22"/>
        </w:rPr>
        <w:t xml:space="preserve">Due date of deliverable: </w:t>
      </w:r>
      <w:r>
        <w:rPr>
          <w:szCs w:val="22"/>
        </w:rPr>
        <w:t xml:space="preserve">November </w:t>
      </w:r>
      <w:r w:rsidRPr="00BD3667">
        <w:rPr>
          <w:szCs w:val="22"/>
        </w:rPr>
        <w:t>201</w:t>
      </w:r>
      <w:r>
        <w:rPr>
          <w:szCs w:val="22"/>
        </w:rPr>
        <w:t>5</w:t>
      </w:r>
    </w:p>
    <w:p w:rsidR="003F789A" w:rsidRPr="00BD3667" w:rsidRDefault="003F789A" w:rsidP="003F14F8">
      <w:pPr>
        <w:suppressAutoHyphens w:val="0"/>
        <w:jc w:val="left"/>
        <w:rPr>
          <w:szCs w:val="22"/>
        </w:rPr>
      </w:pPr>
      <w:r w:rsidRPr="00BD3667">
        <w:rPr>
          <w:szCs w:val="22"/>
        </w:rPr>
        <w:t xml:space="preserve">Actual submission date: </w:t>
      </w:r>
      <w:r>
        <w:rPr>
          <w:szCs w:val="22"/>
        </w:rPr>
        <w:t>December</w:t>
      </w:r>
      <w:r w:rsidRPr="00BD3667">
        <w:rPr>
          <w:szCs w:val="22"/>
        </w:rPr>
        <w:t xml:space="preserve"> 2015</w:t>
      </w:r>
    </w:p>
    <w:p w:rsidR="003F789A" w:rsidRPr="00BD3667" w:rsidRDefault="003F789A" w:rsidP="003F14F8">
      <w:pPr>
        <w:suppressAutoHyphens w:val="0"/>
        <w:jc w:val="left"/>
        <w:rPr>
          <w:szCs w:val="22"/>
        </w:rPr>
      </w:pPr>
      <w:r w:rsidRPr="00BD3667">
        <w:rPr>
          <w:szCs w:val="22"/>
        </w:rPr>
        <w:t xml:space="preserve">Deliverable status: </w:t>
      </w:r>
      <w:r>
        <w:rPr>
          <w:szCs w:val="22"/>
        </w:rPr>
        <w:t>Final</w:t>
      </w:r>
    </w:p>
    <w:p w:rsidR="003F789A" w:rsidRPr="00BD3667" w:rsidRDefault="003F789A" w:rsidP="003F14F8">
      <w:pPr>
        <w:suppressAutoHyphens w:val="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977"/>
        <w:gridCol w:w="1862"/>
        <w:gridCol w:w="4915"/>
      </w:tblGrid>
      <w:tr w:rsidR="003F789A" w:rsidRPr="00BD3667" w:rsidTr="00DD4BD2">
        <w:tc>
          <w:tcPr>
            <w:tcW w:w="1237" w:type="dxa"/>
            <w:shd w:val="clear" w:color="auto" w:fill="F2F2F2"/>
          </w:tcPr>
          <w:p w:rsidR="003F789A" w:rsidRPr="00BD3667" w:rsidRDefault="003F789A" w:rsidP="003F14F8">
            <w:pPr>
              <w:suppressAutoHyphens w:val="0"/>
            </w:pPr>
            <w:r w:rsidRPr="00BD3667">
              <w:t>Version</w:t>
            </w:r>
          </w:p>
        </w:tc>
        <w:tc>
          <w:tcPr>
            <w:tcW w:w="992" w:type="dxa"/>
            <w:shd w:val="clear" w:color="auto" w:fill="F2F2F2"/>
          </w:tcPr>
          <w:p w:rsidR="003F789A" w:rsidRPr="00BD3667" w:rsidRDefault="003F789A" w:rsidP="003F14F8">
            <w:pPr>
              <w:suppressAutoHyphens w:val="0"/>
            </w:pPr>
            <w:r w:rsidRPr="00BD3667">
              <w:t>Status</w:t>
            </w:r>
          </w:p>
        </w:tc>
        <w:tc>
          <w:tcPr>
            <w:tcW w:w="1985" w:type="dxa"/>
            <w:shd w:val="clear" w:color="auto" w:fill="F2F2F2"/>
          </w:tcPr>
          <w:p w:rsidR="003F789A" w:rsidRPr="00BD3667" w:rsidRDefault="003F789A" w:rsidP="003F14F8">
            <w:pPr>
              <w:suppressAutoHyphens w:val="0"/>
            </w:pPr>
            <w:r w:rsidRPr="00BD3667">
              <w:t>Date</w:t>
            </w:r>
          </w:p>
        </w:tc>
        <w:tc>
          <w:tcPr>
            <w:tcW w:w="5340" w:type="dxa"/>
            <w:shd w:val="clear" w:color="auto" w:fill="F2F2F2"/>
          </w:tcPr>
          <w:p w:rsidR="003F789A" w:rsidRPr="00BD3667" w:rsidRDefault="003F789A" w:rsidP="003F14F8">
            <w:pPr>
              <w:suppressAutoHyphens w:val="0"/>
            </w:pPr>
            <w:r>
              <w:t>Editors</w:t>
            </w:r>
          </w:p>
        </w:tc>
      </w:tr>
      <w:tr w:rsidR="003F789A" w:rsidRPr="00D5628A">
        <w:tc>
          <w:tcPr>
            <w:tcW w:w="1237" w:type="dxa"/>
          </w:tcPr>
          <w:p w:rsidR="003F789A" w:rsidRPr="00BD3667" w:rsidRDefault="003F789A" w:rsidP="003F14F8">
            <w:pPr>
              <w:suppressAutoHyphens w:val="0"/>
              <w:jc w:val="left"/>
            </w:pPr>
            <w:r w:rsidRPr="00BD3667">
              <w:t>1.0</w:t>
            </w:r>
          </w:p>
        </w:tc>
        <w:tc>
          <w:tcPr>
            <w:tcW w:w="992" w:type="dxa"/>
          </w:tcPr>
          <w:p w:rsidR="003F789A" w:rsidRPr="00BD3667" w:rsidRDefault="003F789A" w:rsidP="003F14F8">
            <w:pPr>
              <w:suppressAutoHyphens w:val="0"/>
              <w:jc w:val="left"/>
            </w:pPr>
            <w:r>
              <w:t>Final</w:t>
            </w:r>
          </w:p>
        </w:tc>
        <w:tc>
          <w:tcPr>
            <w:tcW w:w="1985" w:type="dxa"/>
          </w:tcPr>
          <w:p w:rsidR="003F789A" w:rsidRPr="00BD3667" w:rsidRDefault="003F789A" w:rsidP="00F70A40">
            <w:pPr>
              <w:suppressAutoHyphens w:val="0"/>
              <w:jc w:val="left"/>
            </w:pPr>
            <w:r>
              <w:t>15</w:t>
            </w:r>
            <w:r w:rsidRPr="00BD3667">
              <w:t xml:space="preserve"> </w:t>
            </w:r>
            <w:r>
              <w:t>May</w:t>
            </w:r>
            <w:r w:rsidRPr="00BD3667">
              <w:t xml:space="preserve"> 2015</w:t>
            </w:r>
          </w:p>
        </w:tc>
        <w:tc>
          <w:tcPr>
            <w:tcW w:w="5340" w:type="dxa"/>
          </w:tcPr>
          <w:p w:rsidR="003F789A" w:rsidRPr="00840B8C" w:rsidRDefault="003F789A" w:rsidP="003F14F8">
            <w:pPr>
              <w:suppressAutoHyphens w:val="0"/>
              <w:jc w:val="left"/>
              <w:rPr>
                <w:szCs w:val="22"/>
              </w:rPr>
            </w:pPr>
          </w:p>
        </w:tc>
      </w:tr>
    </w:tbl>
    <w:p w:rsidR="003F789A" w:rsidRPr="00D5628A" w:rsidRDefault="008C4819" w:rsidP="003F14F8">
      <w:pPr>
        <w:suppressAutoHyphens w:val="0"/>
        <w:sectPr w:rsidR="003F789A" w:rsidRPr="00D5628A" w:rsidSect="00B86FA3">
          <w:pgSz w:w="11906" w:h="16838" w:code="9"/>
          <w:pgMar w:top="1440" w:right="1440" w:bottom="1985" w:left="1440" w:header="709" w:footer="709" w:gutter="0"/>
          <w:cols w:space="284"/>
        </w:sectPr>
      </w:pPr>
      <w:r>
        <w:rPr>
          <w:noProof/>
          <w:lang w:val="en-IE" w:eastAsia="en-IE"/>
        </w:rPr>
        <w:drawing>
          <wp:anchor distT="0" distB="0" distL="114300" distR="114300" simplePos="0" relativeHeight="251656192" behindDoc="0" locked="0" layoutInCell="1" allowOverlap="1">
            <wp:simplePos x="0" y="0"/>
            <wp:positionH relativeFrom="column">
              <wp:posOffset>-720090</wp:posOffset>
            </wp:positionH>
            <wp:positionV relativeFrom="paragraph">
              <wp:posOffset>745490</wp:posOffset>
            </wp:positionV>
            <wp:extent cx="7559040" cy="3124200"/>
            <wp:effectExtent l="0" t="0" r="3810" b="0"/>
            <wp:wrapNone/>
            <wp:docPr id="9" name="Picture 24" descr="OPERAs-PartnerLogoBlock-A4width-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RAs-PartnerLogoBlock-A4width-RGB-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3124200"/>
                    </a:xfrm>
                    <a:prstGeom prst="rect">
                      <a:avLst/>
                    </a:prstGeom>
                    <a:noFill/>
                  </pic:spPr>
                </pic:pic>
              </a:graphicData>
            </a:graphic>
            <wp14:sizeRelH relativeFrom="page">
              <wp14:pctWidth>0</wp14:pctWidth>
            </wp14:sizeRelH>
            <wp14:sizeRelV relativeFrom="page">
              <wp14:pctHeight>0</wp14:pctHeight>
            </wp14:sizeRelV>
          </wp:anchor>
        </w:drawing>
      </w:r>
    </w:p>
    <w:p w:rsidR="003F789A" w:rsidRPr="00360E99" w:rsidRDefault="003F789A" w:rsidP="003F14F8">
      <w:pPr>
        <w:suppressAutoHyphens w:val="0"/>
        <w:spacing w:after="0" w:line="240" w:lineRule="auto"/>
        <w:jc w:val="left"/>
        <w:rPr>
          <w:rFonts w:ascii="Arial Bold" w:hAnsi="Arial Bold"/>
          <w:b/>
          <w:color w:val="008080"/>
          <w:sz w:val="40"/>
          <w:szCs w:val="40"/>
        </w:rPr>
      </w:pPr>
      <w:r w:rsidRPr="00360E99">
        <w:rPr>
          <w:rFonts w:ascii="Arial Bold" w:hAnsi="Arial Bold"/>
          <w:b/>
          <w:color w:val="008080"/>
          <w:sz w:val="40"/>
          <w:szCs w:val="40"/>
        </w:rPr>
        <w:lastRenderedPageBreak/>
        <w:t>Contributing authors and institutions</w:t>
      </w:r>
    </w:p>
    <w:p w:rsidR="003F789A" w:rsidRDefault="003F789A" w:rsidP="003F14F8">
      <w:pPr>
        <w:suppressAutoHyphens w:val="0"/>
        <w:spacing w:after="0"/>
        <w:jc w:val="left"/>
        <w:rPr>
          <w:b/>
          <w:szCs w:val="22"/>
          <w:lang w:val="nl-NL"/>
        </w:rPr>
      </w:pPr>
    </w:p>
    <w:p w:rsidR="003F789A" w:rsidRPr="00130171" w:rsidRDefault="003F789A" w:rsidP="00130171">
      <w:pPr>
        <w:spacing w:line="276" w:lineRule="auto"/>
        <w:rPr>
          <w:rFonts w:ascii="Arial Bold" w:hAnsi="Arial Bold"/>
          <w:b/>
        </w:rPr>
      </w:pPr>
      <w:smartTag w:uri="urn:schemas-microsoft-com:office:smarttags" w:element="PlaceType">
        <w:r w:rsidRPr="00130171">
          <w:rPr>
            <w:rFonts w:ascii="Arial Bold" w:hAnsi="Arial Bold"/>
            <w:b/>
          </w:rPr>
          <w:t>School</w:t>
        </w:r>
      </w:smartTag>
      <w:r w:rsidRPr="00130171">
        <w:rPr>
          <w:rFonts w:ascii="Arial Bold" w:hAnsi="Arial Bold"/>
          <w:b/>
        </w:rPr>
        <w:t xml:space="preserve"> of </w:t>
      </w:r>
      <w:smartTag w:uri="urn:schemas-microsoft-com:office:smarttags" w:element="PlaceName">
        <w:r w:rsidRPr="00130171">
          <w:rPr>
            <w:rFonts w:ascii="Arial Bold" w:hAnsi="Arial Bold"/>
            <w:b/>
          </w:rPr>
          <w:t>Architecture</w:t>
        </w:r>
      </w:smartTag>
      <w:r w:rsidRPr="00130171">
        <w:rPr>
          <w:rFonts w:ascii="Arial Bold" w:hAnsi="Arial Bold"/>
          <w:b/>
        </w:rPr>
        <w:t xml:space="preserve">, Planning and Environmental Policy, </w:t>
      </w:r>
      <w:smartTag w:uri="urn:schemas-microsoft-com:office:smarttags" w:element="PlaceType">
        <w:r w:rsidRPr="00130171">
          <w:rPr>
            <w:rFonts w:ascii="Arial Bold" w:hAnsi="Arial Bold"/>
            <w:b/>
          </w:rPr>
          <w:t>University</w:t>
        </w:r>
      </w:smartTag>
      <w:r w:rsidRPr="00130171">
        <w:rPr>
          <w:rFonts w:ascii="Arial Bold" w:hAnsi="Arial Bold"/>
          <w:b/>
        </w:rPr>
        <w:t xml:space="preserve"> </w:t>
      </w:r>
      <w:smartTag w:uri="urn:schemas-microsoft-com:office:smarttags" w:element="PlaceType">
        <w:r w:rsidRPr="00130171">
          <w:rPr>
            <w:rFonts w:ascii="Arial Bold" w:hAnsi="Arial Bold"/>
            <w:b/>
          </w:rPr>
          <w:t>College</w:t>
        </w:r>
      </w:smartTag>
      <w:r w:rsidRPr="00130171">
        <w:rPr>
          <w:rFonts w:ascii="Arial Bold" w:hAnsi="Arial Bold"/>
          <w:b/>
        </w:rPr>
        <w:t xml:space="preserve"> </w:t>
      </w:r>
      <w:smartTag w:uri="urn:schemas-microsoft-com:office:smarttags" w:element="City">
        <w:r w:rsidRPr="00130171">
          <w:rPr>
            <w:rFonts w:ascii="Arial Bold" w:hAnsi="Arial Bold"/>
            <w:b/>
          </w:rPr>
          <w:t>Dublin</w:t>
        </w:r>
      </w:smartTag>
      <w:r>
        <w:rPr>
          <w:rFonts w:ascii="Arial Bold" w:hAnsi="Arial Bold"/>
          <w:b/>
        </w:rPr>
        <w:t xml:space="preserve"> (UCD), </w:t>
      </w:r>
      <w:smartTag w:uri="urn:schemas-microsoft-com:office:smarttags" w:element="country-region">
        <w:smartTag w:uri="urn:schemas-microsoft-com:office:smarttags" w:element="place">
          <w:r>
            <w:rPr>
              <w:rFonts w:ascii="Arial Bold" w:hAnsi="Arial Bold"/>
              <w:b/>
            </w:rPr>
            <w:t>Ireland</w:t>
          </w:r>
        </w:smartTag>
      </w:smartTag>
    </w:p>
    <w:p w:rsidR="003F789A" w:rsidRPr="00130171" w:rsidRDefault="003F789A" w:rsidP="00130171">
      <w:pPr>
        <w:suppressAutoHyphens w:val="0"/>
        <w:spacing w:after="0"/>
        <w:jc w:val="left"/>
        <w:rPr>
          <w:sz w:val="20"/>
        </w:rPr>
      </w:pPr>
      <w:r w:rsidRPr="00130171">
        <w:rPr>
          <w:sz w:val="20"/>
          <w:lang w:val="de-DE"/>
        </w:rPr>
        <w:t xml:space="preserve">Craig Bullock, Deirdre Joyce, Marcus Collier </w:t>
      </w:r>
    </w:p>
    <w:p w:rsidR="003F789A" w:rsidRPr="008125BB" w:rsidRDefault="003F789A" w:rsidP="003F14F8">
      <w:pPr>
        <w:suppressAutoHyphens w:val="0"/>
        <w:spacing w:after="0"/>
        <w:jc w:val="left"/>
        <w:rPr>
          <w:rFonts w:ascii="Arial Bold" w:hAnsi="Arial Bold"/>
          <w:b/>
          <w:szCs w:val="22"/>
          <w:lang w:val="en-US"/>
        </w:rPr>
      </w:pPr>
    </w:p>
    <w:p w:rsidR="003F789A" w:rsidRPr="00A82C6B" w:rsidRDefault="003F789A" w:rsidP="003F14F8">
      <w:pPr>
        <w:suppressAutoHyphens w:val="0"/>
        <w:spacing w:after="0"/>
        <w:jc w:val="left"/>
        <w:rPr>
          <w:b/>
          <w:szCs w:val="22"/>
          <w:lang w:val="nl-NL"/>
        </w:rPr>
      </w:pPr>
      <w:r w:rsidRPr="00130171">
        <w:rPr>
          <w:rFonts w:ascii="Arial Bold" w:hAnsi="Arial Bold"/>
          <w:b/>
          <w:szCs w:val="22"/>
          <w:lang w:val="nl-NL"/>
        </w:rPr>
        <w:t>Institute</w:t>
      </w:r>
      <w:r w:rsidRPr="00A82C6B">
        <w:rPr>
          <w:b/>
          <w:szCs w:val="22"/>
          <w:lang w:val="nl-NL"/>
        </w:rPr>
        <w:t xml:space="preserve"> for Environmental Studies, VU University Amsterdam (IVM-VU)</w:t>
      </w:r>
      <w:r>
        <w:rPr>
          <w:b/>
          <w:szCs w:val="22"/>
          <w:lang w:val="nl-NL"/>
        </w:rPr>
        <w:t>, Amsterdam, The Netherlands</w:t>
      </w:r>
    </w:p>
    <w:p w:rsidR="003F789A" w:rsidRPr="008E6AF7" w:rsidRDefault="003F789A" w:rsidP="00130171">
      <w:pPr>
        <w:tabs>
          <w:tab w:val="left" w:pos="880"/>
        </w:tabs>
        <w:spacing w:after="0" w:line="360" w:lineRule="auto"/>
        <w:rPr>
          <w:rStyle w:val="pagecontents1"/>
          <w:rFonts w:cs="Arial"/>
          <w:sz w:val="20"/>
          <w:lang w:val="nl-NL"/>
        </w:rPr>
      </w:pPr>
      <w:r w:rsidRPr="008E6AF7">
        <w:rPr>
          <w:rStyle w:val="pagecontents1"/>
          <w:rFonts w:cs="Arial"/>
          <w:sz w:val="20"/>
          <w:lang w:val="nl-NL"/>
        </w:rPr>
        <w:t>Samantha S. K. Scholte, Boris Zanten, Astrid J.A. van Teeffelen, Peter H. Verburg</w:t>
      </w:r>
    </w:p>
    <w:p w:rsidR="003F789A" w:rsidRPr="00902E92" w:rsidRDefault="003F789A" w:rsidP="00360E99">
      <w:pPr>
        <w:suppressAutoHyphens w:val="0"/>
        <w:spacing w:after="0"/>
        <w:jc w:val="left"/>
        <w:rPr>
          <w:szCs w:val="22"/>
          <w:lang w:val="nl-NL"/>
        </w:rPr>
      </w:pPr>
    </w:p>
    <w:p w:rsidR="003F789A" w:rsidRPr="00902E92" w:rsidRDefault="003F789A" w:rsidP="00360E99">
      <w:pPr>
        <w:suppressAutoHyphens w:val="0"/>
        <w:spacing w:after="0"/>
        <w:jc w:val="left"/>
        <w:rPr>
          <w:b/>
          <w:szCs w:val="22"/>
        </w:rPr>
      </w:pPr>
      <w:smartTag w:uri="urn:schemas-microsoft-com:office:smarttags" w:element="PlaceType">
        <w:smartTag w:uri="urn:schemas-microsoft-com:office:smarttags" w:element="place">
          <w:r>
            <w:rPr>
              <w:rFonts w:cs="Arial"/>
              <w:b/>
              <w:szCs w:val="22"/>
              <w:shd w:val="clear" w:color="auto" w:fill="FFFFFF"/>
            </w:rPr>
            <w:t>University</w:t>
          </w:r>
        </w:smartTag>
        <w:r>
          <w:rPr>
            <w:rFonts w:cs="Arial"/>
            <w:b/>
            <w:szCs w:val="22"/>
            <w:shd w:val="clear" w:color="auto" w:fill="FFFFFF"/>
          </w:rPr>
          <w:t xml:space="preserve"> of </w:t>
        </w:r>
        <w:smartTag w:uri="urn:schemas-microsoft-com:office:smarttags" w:element="PlaceName">
          <w:r>
            <w:rPr>
              <w:rFonts w:cs="Arial"/>
              <w:b/>
              <w:szCs w:val="22"/>
              <w:shd w:val="clear" w:color="auto" w:fill="FFFFFF"/>
            </w:rPr>
            <w:t>Potsdam</w:t>
          </w:r>
        </w:smartTag>
      </w:smartTag>
      <w:r>
        <w:rPr>
          <w:rFonts w:cs="Arial"/>
          <w:b/>
          <w:szCs w:val="22"/>
          <w:shd w:val="clear" w:color="auto" w:fill="FFFFFF"/>
        </w:rPr>
        <w:t xml:space="preserve"> (UP)</w:t>
      </w:r>
    </w:p>
    <w:p w:rsidR="003F789A" w:rsidRPr="008125BB" w:rsidRDefault="003F789A" w:rsidP="00360E99">
      <w:pPr>
        <w:suppressAutoHyphens w:val="0"/>
        <w:spacing w:after="0"/>
        <w:jc w:val="left"/>
        <w:rPr>
          <w:rStyle w:val="pagecontents1"/>
          <w:rFonts w:cs="Arial"/>
          <w:sz w:val="20"/>
          <w:lang w:val="en-US"/>
        </w:rPr>
      </w:pPr>
      <w:proofErr w:type="spellStart"/>
      <w:r w:rsidRPr="008125BB">
        <w:rPr>
          <w:rStyle w:val="pagecontents1"/>
          <w:rFonts w:cs="Arial"/>
          <w:sz w:val="20"/>
          <w:lang w:val="en-US"/>
        </w:rPr>
        <w:t>Katja</w:t>
      </w:r>
      <w:proofErr w:type="spellEnd"/>
      <w:r w:rsidRPr="008125BB">
        <w:rPr>
          <w:rStyle w:val="pagecontents1"/>
          <w:rFonts w:cs="Arial"/>
          <w:sz w:val="20"/>
          <w:lang w:val="en-US"/>
        </w:rPr>
        <w:t xml:space="preserve"> Schmidt, Ariane </w:t>
      </w:r>
      <w:proofErr w:type="spellStart"/>
      <w:r w:rsidRPr="008125BB">
        <w:rPr>
          <w:rStyle w:val="pagecontents1"/>
          <w:rFonts w:cs="Arial"/>
          <w:sz w:val="20"/>
          <w:lang w:val="en-US"/>
        </w:rPr>
        <w:t>Walz</w:t>
      </w:r>
      <w:proofErr w:type="spellEnd"/>
    </w:p>
    <w:p w:rsidR="003F789A" w:rsidRPr="008125BB" w:rsidRDefault="003F789A" w:rsidP="003F14F8">
      <w:pPr>
        <w:suppressAutoHyphens w:val="0"/>
        <w:spacing w:after="0"/>
        <w:jc w:val="left"/>
        <w:rPr>
          <w:szCs w:val="22"/>
          <w:lang w:val="en-US"/>
        </w:rPr>
      </w:pPr>
    </w:p>
    <w:p w:rsidR="003F789A" w:rsidRPr="00902E92" w:rsidRDefault="003F789A" w:rsidP="003F14F8">
      <w:pPr>
        <w:suppressAutoHyphens w:val="0"/>
        <w:spacing w:after="0"/>
        <w:jc w:val="left"/>
        <w:rPr>
          <w:b/>
          <w:szCs w:val="22"/>
        </w:rPr>
      </w:pPr>
      <w:r>
        <w:rPr>
          <w:rFonts w:cs="Arial"/>
          <w:b/>
          <w:szCs w:val="22"/>
          <w:shd w:val="clear" w:color="auto" w:fill="FFFFFF"/>
        </w:rPr>
        <w:t xml:space="preserve">World Wildlife Fund (WWF), </w:t>
      </w:r>
      <w:r w:rsidRPr="008125BB">
        <w:rPr>
          <w:rStyle w:val="pagecontents1"/>
          <w:rFonts w:cs="Arial"/>
          <w:b/>
          <w:sz w:val="22"/>
          <w:szCs w:val="22"/>
          <w:lang w:val="en-US"/>
        </w:rPr>
        <w:t xml:space="preserve">Danube-Carpathian </w:t>
      </w:r>
      <w:proofErr w:type="spellStart"/>
      <w:r w:rsidRPr="008125BB">
        <w:rPr>
          <w:rStyle w:val="pagecontents1"/>
          <w:rFonts w:cs="Arial"/>
          <w:b/>
          <w:sz w:val="22"/>
          <w:szCs w:val="22"/>
          <w:lang w:val="en-US"/>
        </w:rPr>
        <w:t>Programme</w:t>
      </w:r>
      <w:proofErr w:type="spellEnd"/>
      <w:r w:rsidRPr="008125BB">
        <w:rPr>
          <w:rStyle w:val="pagecontents1"/>
          <w:rFonts w:cs="Arial"/>
          <w:b/>
          <w:sz w:val="22"/>
          <w:szCs w:val="22"/>
          <w:lang w:val="en-US"/>
        </w:rPr>
        <w:t>,</w:t>
      </w:r>
      <w:r>
        <w:rPr>
          <w:rFonts w:cs="Arial"/>
          <w:b/>
          <w:szCs w:val="22"/>
          <w:shd w:val="clear" w:color="auto" w:fill="FFFFFF"/>
        </w:rPr>
        <w:t xml:space="preserve"> </w:t>
      </w:r>
      <w:smartTag w:uri="urn:schemas-microsoft-com:office:smarttags" w:element="country-region">
        <w:smartTag w:uri="urn:schemas-microsoft-com:office:smarttags" w:element="place">
          <w:r>
            <w:rPr>
              <w:rFonts w:cs="Arial"/>
              <w:b/>
              <w:szCs w:val="22"/>
              <w:shd w:val="clear" w:color="auto" w:fill="FFFFFF"/>
            </w:rPr>
            <w:t>Bulgaria</w:t>
          </w:r>
        </w:smartTag>
      </w:smartTag>
    </w:p>
    <w:p w:rsidR="003F789A" w:rsidRPr="008125BB" w:rsidRDefault="003F789A" w:rsidP="003F14F8">
      <w:pPr>
        <w:suppressAutoHyphens w:val="0"/>
        <w:spacing w:after="0"/>
        <w:jc w:val="left"/>
        <w:rPr>
          <w:rStyle w:val="pagecontents1"/>
          <w:rFonts w:cs="Arial"/>
          <w:sz w:val="20"/>
          <w:lang w:val="en-US"/>
        </w:rPr>
      </w:pPr>
      <w:r w:rsidRPr="008125BB">
        <w:rPr>
          <w:rStyle w:val="pagecontents1"/>
          <w:rFonts w:cs="Arial"/>
          <w:sz w:val="20"/>
          <w:lang w:val="en-US"/>
        </w:rPr>
        <w:t>Maya Todorova</w:t>
      </w:r>
    </w:p>
    <w:p w:rsidR="003F789A" w:rsidRPr="00902E92" w:rsidRDefault="003F789A" w:rsidP="003F14F8">
      <w:pPr>
        <w:suppressAutoHyphens w:val="0"/>
        <w:spacing w:after="0"/>
        <w:jc w:val="left"/>
        <w:rPr>
          <w:szCs w:val="22"/>
        </w:rPr>
      </w:pPr>
    </w:p>
    <w:p w:rsidR="003F789A" w:rsidRPr="00902E92" w:rsidRDefault="003F789A" w:rsidP="003F14F8">
      <w:pPr>
        <w:suppressAutoHyphens w:val="0"/>
        <w:spacing w:after="0"/>
        <w:jc w:val="left"/>
        <w:rPr>
          <w:szCs w:val="22"/>
        </w:rPr>
      </w:pPr>
    </w:p>
    <w:p w:rsidR="003F789A" w:rsidRPr="00902E92" w:rsidRDefault="003F789A" w:rsidP="003F14F8">
      <w:pPr>
        <w:suppressAutoHyphens w:val="0"/>
        <w:spacing w:after="0"/>
        <w:jc w:val="left"/>
        <w:rPr>
          <w:b/>
          <w:sz w:val="40"/>
          <w:szCs w:val="40"/>
        </w:rPr>
      </w:pPr>
    </w:p>
    <w:p w:rsidR="003F789A" w:rsidRPr="00360E99" w:rsidRDefault="003F789A" w:rsidP="003F14F8">
      <w:pPr>
        <w:suppressAutoHyphens w:val="0"/>
        <w:spacing w:after="0" w:line="240" w:lineRule="auto"/>
        <w:jc w:val="left"/>
        <w:rPr>
          <w:rFonts w:ascii="Arial Bold" w:hAnsi="Arial Bold"/>
          <w:b/>
          <w:color w:val="008080"/>
          <w:sz w:val="40"/>
          <w:szCs w:val="40"/>
        </w:rPr>
      </w:pPr>
      <w:r w:rsidRPr="00360E99">
        <w:rPr>
          <w:rFonts w:ascii="Arial Bold" w:hAnsi="Arial Bold"/>
          <w:b/>
          <w:color w:val="008080"/>
          <w:sz w:val="40"/>
          <w:szCs w:val="40"/>
        </w:rPr>
        <w:t>Acknowledgements</w:t>
      </w:r>
    </w:p>
    <w:p w:rsidR="003F789A" w:rsidRDefault="003F789A" w:rsidP="003F14F8">
      <w:pPr>
        <w:suppressAutoHyphens w:val="0"/>
        <w:rPr>
          <w:rFonts w:cs="Arial"/>
        </w:rPr>
      </w:pPr>
    </w:p>
    <w:p w:rsidR="003F789A" w:rsidRDefault="003F789A" w:rsidP="002130BD">
      <w:pPr>
        <w:suppressAutoHyphens w:val="0"/>
        <w:rPr>
          <w:sz w:val="20"/>
        </w:rPr>
      </w:pPr>
      <w:r w:rsidRPr="00360E99">
        <w:rPr>
          <w:rFonts w:cs="Arial"/>
          <w:sz w:val="20"/>
        </w:rPr>
        <w:t>The research leading to the results in this deliverable has received funding from the European Commission Seventh Framework Programme under Grant Agreement No. FP7-ENV-2012-308393-2 (OPERAs).</w:t>
      </w:r>
      <w:r w:rsidRPr="00360E99">
        <w:rPr>
          <w:sz w:val="20"/>
        </w:rPr>
        <w:t> </w:t>
      </w:r>
    </w:p>
    <w:p w:rsidR="003F789A" w:rsidRDefault="003F789A" w:rsidP="002130BD">
      <w:pPr>
        <w:suppressAutoHyphens w:val="0"/>
        <w:rPr>
          <w:sz w:val="20"/>
        </w:rPr>
      </w:pPr>
    </w:p>
    <w:p w:rsidR="003F789A" w:rsidRDefault="003F789A" w:rsidP="00015240">
      <w:pPr>
        <w:keepNext/>
        <w:suppressAutoHyphens w:val="0"/>
        <w:rPr>
          <w:b/>
          <w:color w:val="008080"/>
          <w:sz w:val="40"/>
          <w:szCs w:val="40"/>
        </w:rPr>
      </w:pPr>
    </w:p>
    <w:p w:rsidR="003F789A" w:rsidRDefault="003F789A" w:rsidP="00015240">
      <w:pPr>
        <w:keepNext/>
        <w:suppressAutoHyphens w:val="0"/>
        <w:rPr>
          <w:b/>
          <w:color w:val="008080"/>
          <w:sz w:val="40"/>
          <w:szCs w:val="40"/>
        </w:rPr>
      </w:pPr>
      <w:r>
        <w:rPr>
          <w:b/>
          <w:color w:val="008080"/>
          <w:sz w:val="40"/>
          <w:szCs w:val="40"/>
        </w:rPr>
        <w:br w:type="page"/>
      </w:r>
      <w:r w:rsidRPr="00015240">
        <w:rPr>
          <w:b/>
          <w:color w:val="008080"/>
          <w:sz w:val="40"/>
          <w:szCs w:val="40"/>
        </w:rPr>
        <w:lastRenderedPageBreak/>
        <w:t>Table of contents</w:t>
      </w:r>
    </w:p>
    <w:p w:rsidR="003F789A" w:rsidRPr="00015240" w:rsidRDefault="003F789A" w:rsidP="00015240">
      <w:pPr>
        <w:keepNext/>
        <w:suppressAutoHyphens w:val="0"/>
        <w:rPr>
          <w:b/>
          <w:color w:val="008080"/>
          <w:sz w:val="40"/>
          <w:szCs w:val="40"/>
        </w:rPr>
      </w:pPr>
    </w:p>
    <w:p w:rsidR="003F789A" w:rsidRPr="00015240" w:rsidRDefault="003F789A" w:rsidP="00015240">
      <w:pPr>
        <w:pStyle w:val="TOC1"/>
        <w:keepNext/>
        <w:tabs>
          <w:tab w:val="left" w:pos="440"/>
          <w:tab w:val="right" w:leader="dot" w:pos="9016"/>
        </w:tabs>
        <w:jc w:val="left"/>
        <w:rPr>
          <w:rFonts w:ascii="Times New Roman" w:hAnsi="Times New Roman"/>
          <w:b/>
          <w:noProof/>
          <w:color w:val="auto"/>
          <w:sz w:val="24"/>
          <w:szCs w:val="24"/>
        </w:rPr>
      </w:pPr>
      <w:r>
        <w:fldChar w:fldCharType="begin"/>
      </w:r>
      <w:r>
        <w:instrText xml:space="preserve"> TOC \o "1-3" \h \z \u </w:instrText>
      </w:r>
      <w:r>
        <w:fldChar w:fldCharType="separate"/>
      </w:r>
      <w:hyperlink w:anchor="_Toc436916034" w:history="1">
        <w:r w:rsidRPr="00015240">
          <w:rPr>
            <w:rStyle w:val="Hyperlink"/>
            <w:b/>
            <w:noProof/>
          </w:rPr>
          <w:t>1.</w:t>
        </w:r>
        <w:r w:rsidRPr="00015240">
          <w:rPr>
            <w:rFonts w:ascii="Times New Roman" w:hAnsi="Times New Roman"/>
            <w:b/>
            <w:noProof/>
            <w:color w:val="auto"/>
            <w:sz w:val="24"/>
            <w:szCs w:val="24"/>
          </w:rPr>
          <w:tab/>
        </w:r>
        <w:r w:rsidRPr="00015240">
          <w:rPr>
            <w:rStyle w:val="Hyperlink"/>
            <w:b/>
            <w:noProof/>
          </w:rPr>
          <w:t>Introduction</w:t>
        </w:r>
        <w:r w:rsidRPr="00015240">
          <w:rPr>
            <w:b/>
            <w:noProof/>
            <w:webHidden/>
          </w:rPr>
          <w:tab/>
        </w:r>
        <w:r w:rsidRPr="00015240">
          <w:rPr>
            <w:b/>
            <w:noProof/>
            <w:webHidden/>
          </w:rPr>
          <w:fldChar w:fldCharType="begin"/>
        </w:r>
        <w:r w:rsidRPr="00015240">
          <w:rPr>
            <w:b/>
            <w:noProof/>
            <w:webHidden/>
          </w:rPr>
          <w:instrText xml:space="preserve"> PAGEREF _Toc436916034 \h </w:instrText>
        </w:r>
        <w:r w:rsidRPr="00015240">
          <w:rPr>
            <w:b/>
            <w:noProof/>
            <w:webHidden/>
          </w:rPr>
        </w:r>
        <w:r w:rsidRPr="00015240">
          <w:rPr>
            <w:b/>
            <w:noProof/>
            <w:webHidden/>
          </w:rPr>
          <w:fldChar w:fldCharType="separate"/>
        </w:r>
        <w:r w:rsidRPr="00015240">
          <w:rPr>
            <w:b/>
            <w:noProof/>
            <w:webHidden/>
          </w:rPr>
          <w:t>1</w:t>
        </w:r>
        <w:r w:rsidRPr="00015240">
          <w:rPr>
            <w:b/>
            <w:noProof/>
            <w:webHidden/>
          </w:rPr>
          <w:fldChar w:fldCharType="end"/>
        </w:r>
      </w:hyperlink>
    </w:p>
    <w:p w:rsidR="003F789A" w:rsidRDefault="003F789A" w:rsidP="00015240">
      <w:pPr>
        <w:pStyle w:val="TOC1"/>
        <w:keepNext/>
        <w:tabs>
          <w:tab w:val="left" w:pos="440"/>
          <w:tab w:val="right" w:leader="dot" w:pos="9016"/>
        </w:tabs>
        <w:jc w:val="left"/>
        <w:rPr>
          <w:rStyle w:val="Hyperlink"/>
          <w:b/>
          <w:noProof/>
        </w:rPr>
      </w:pPr>
    </w:p>
    <w:p w:rsidR="003F789A" w:rsidRDefault="006B65E3" w:rsidP="00015240">
      <w:pPr>
        <w:pStyle w:val="TOC1"/>
        <w:keepNext/>
        <w:tabs>
          <w:tab w:val="left" w:pos="440"/>
          <w:tab w:val="right" w:leader="dot" w:pos="9016"/>
        </w:tabs>
        <w:jc w:val="left"/>
        <w:rPr>
          <w:rFonts w:ascii="Times New Roman" w:hAnsi="Times New Roman"/>
          <w:noProof/>
          <w:color w:val="auto"/>
          <w:sz w:val="24"/>
          <w:szCs w:val="24"/>
        </w:rPr>
      </w:pPr>
      <w:hyperlink w:anchor="_Toc436916035" w:history="1">
        <w:r w:rsidR="003F789A" w:rsidRPr="00015240">
          <w:rPr>
            <w:rStyle w:val="Hyperlink"/>
            <w:b/>
            <w:noProof/>
          </w:rPr>
          <w:t>2.</w:t>
        </w:r>
        <w:r w:rsidR="003F789A" w:rsidRPr="00015240">
          <w:rPr>
            <w:rFonts w:ascii="Times New Roman" w:hAnsi="Times New Roman"/>
            <w:b/>
            <w:noProof/>
            <w:color w:val="auto"/>
            <w:sz w:val="24"/>
            <w:szCs w:val="24"/>
          </w:rPr>
          <w:tab/>
        </w:r>
        <w:r w:rsidR="003F789A" w:rsidRPr="00015240">
          <w:rPr>
            <w:rStyle w:val="Hyperlink"/>
            <w:b/>
            <w:noProof/>
          </w:rPr>
          <w:t>Socio-cultural values and valuation</w:t>
        </w:r>
        <w:r w:rsidR="003F789A" w:rsidRPr="00015240">
          <w:rPr>
            <w:b/>
            <w:noProof/>
            <w:webHidden/>
          </w:rPr>
          <w:tab/>
        </w:r>
        <w:r w:rsidR="003F789A" w:rsidRPr="00015240">
          <w:rPr>
            <w:b/>
            <w:noProof/>
            <w:webHidden/>
          </w:rPr>
          <w:fldChar w:fldCharType="begin"/>
        </w:r>
        <w:r w:rsidR="003F789A" w:rsidRPr="00015240">
          <w:rPr>
            <w:b/>
            <w:noProof/>
            <w:webHidden/>
          </w:rPr>
          <w:instrText xml:space="preserve"> PAGEREF _Toc436916035 \h </w:instrText>
        </w:r>
        <w:r w:rsidR="003F789A" w:rsidRPr="00015240">
          <w:rPr>
            <w:b/>
            <w:noProof/>
            <w:webHidden/>
          </w:rPr>
        </w:r>
        <w:r w:rsidR="003F789A" w:rsidRPr="00015240">
          <w:rPr>
            <w:b/>
            <w:noProof/>
            <w:webHidden/>
          </w:rPr>
          <w:fldChar w:fldCharType="separate"/>
        </w:r>
        <w:r w:rsidR="003F789A" w:rsidRPr="00015240">
          <w:rPr>
            <w:b/>
            <w:noProof/>
            <w:webHidden/>
          </w:rPr>
          <w:t>3</w:t>
        </w:r>
        <w:r w:rsidR="003F789A" w:rsidRPr="00015240">
          <w:rPr>
            <w:b/>
            <w:noProof/>
            <w:webHidden/>
          </w:rPr>
          <w:fldChar w:fldCharType="end"/>
        </w:r>
      </w:hyperlink>
    </w:p>
    <w:p w:rsidR="003F789A" w:rsidRDefault="006B65E3" w:rsidP="00015240">
      <w:pPr>
        <w:pStyle w:val="TOC2"/>
        <w:keepNext/>
        <w:jc w:val="left"/>
        <w:rPr>
          <w:rFonts w:ascii="Times New Roman" w:hAnsi="Times New Roman"/>
          <w:color w:val="auto"/>
          <w:sz w:val="24"/>
          <w:szCs w:val="24"/>
          <w:lang w:val="en-GB"/>
        </w:rPr>
      </w:pPr>
      <w:hyperlink w:anchor="_Toc436916038" w:history="1">
        <w:r w:rsidR="003F789A" w:rsidRPr="00994F11">
          <w:rPr>
            <w:rStyle w:val="Hyperlink"/>
            <w:rFonts w:ascii="Arial Bold" w:hAnsi="Arial Bold"/>
          </w:rPr>
          <w:t>2.1</w:t>
        </w:r>
        <w:r w:rsidR="003F789A">
          <w:rPr>
            <w:rFonts w:ascii="Times New Roman" w:hAnsi="Times New Roman"/>
            <w:color w:val="auto"/>
            <w:sz w:val="24"/>
            <w:szCs w:val="24"/>
            <w:lang w:val="en-GB"/>
          </w:rPr>
          <w:tab/>
        </w:r>
        <w:r w:rsidR="003F789A" w:rsidRPr="00994F11">
          <w:rPr>
            <w:rStyle w:val="Hyperlink"/>
            <w:rFonts w:ascii="Arial Bold" w:hAnsi="Arial Bold"/>
          </w:rPr>
          <w:t>Introduction</w:t>
        </w:r>
        <w:r w:rsidR="003F789A">
          <w:rPr>
            <w:webHidden/>
          </w:rPr>
          <w:tab/>
        </w:r>
        <w:r w:rsidR="003F789A">
          <w:rPr>
            <w:webHidden/>
          </w:rPr>
          <w:fldChar w:fldCharType="begin"/>
        </w:r>
        <w:r w:rsidR="003F789A">
          <w:rPr>
            <w:webHidden/>
          </w:rPr>
          <w:instrText xml:space="preserve"> PAGEREF _Toc436916038 \h </w:instrText>
        </w:r>
        <w:r w:rsidR="003F789A">
          <w:rPr>
            <w:webHidden/>
          </w:rPr>
        </w:r>
        <w:r w:rsidR="003F789A">
          <w:rPr>
            <w:webHidden/>
          </w:rPr>
          <w:fldChar w:fldCharType="separate"/>
        </w:r>
        <w:r w:rsidR="003F789A">
          <w:rPr>
            <w:webHidden/>
          </w:rPr>
          <w:t>3</w:t>
        </w:r>
        <w:r w:rsidR="003F789A">
          <w:rPr>
            <w:webHidden/>
          </w:rPr>
          <w:fldChar w:fldCharType="end"/>
        </w:r>
      </w:hyperlink>
    </w:p>
    <w:p w:rsidR="003F789A" w:rsidRDefault="006B65E3" w:rsidP="00015240">
      <w:pPr>
        <w:pStyle w:val="TOC2"/>
        <w:keepNext/>
        <w:jc w:val="left"/>
        <w:rPr>
          <w:rFonts w:ascii="Times New Roman" w:hAnsi="Times New Roman"/>
          <w:color w:val="auto"/>
          <w:sz w:val="24"/>
          <w:szCs w:val="24"/>
          <w:lang w:val="en-GB"/>
        </w:rPr>
      </w:pPr>
      <w:hyperlink w:anchor="_Toc436916039" w:history="1">
        <w:r w:rsidR="003F789A" w:rsidRPr="00994F11">
          <w:rPr>
            <w:rStyle w:val="Hyperlink"/>
            <w:rFonts w:ascii="Arial Bold" w:hAnsi="Arial Bold"/>
          </w:rPr>
          <w:t>2.2</w:t>
        </w:r>
        <w:r w:rsidR="003F789A">
          <w:rPr>
            <w:rFonts w:ascii="Times New Roman" w:hAnsi="Times New Roman"/>
            <w:color w:val="auto"/>
            <w:sz w:val="24"/>
            <w:szCs w:val="24"/>
            <w:lang w:val="en-GB"/>
          </w:rPr>
          <w:tab/>
        </w:r>
        <w:r w:rsidR="003F789A" w:rsidRPr="00994F11">
          <w:rPr>
            <w:rStyle w:val="Hyperlink"/>
            <w:rFonts w:ascii="Arial Bold" w:hAnsi="Arial Bold"/>
          </w:rPr>
          <w:t>Social cultural values</w:t>
        </w:r>
        <w:r w:rsidR="003F789A">
          <w:rPr>
            <w:webHidden/>
          </w:rPr>
          <w:tab/>
        </w:r>
        <w:r w:rsidR="003F789A">
          <w:rPr>
            <w:webHidden/>
          </w:rPr>
          <w:fldChar w:fldCharType="begin"/>
        </w:r>
        <w:r w:rsidR="003F789A">
          <w:rPr>
            <w:webHidden/>
          </w:rPr>
          <w:instrText xml:space="preserve"> PAGEREF _Toc436916039 \h </w:instrText>
        </w:r>
        <w:r w:rsidR="003F789A">
          <w:rPr>
            <w:webHidden/>
          </w:rPr>
        </w:r>
        <w:r w:rsidR="003F789A">
          <w:rPr>
            <w:webHidden/>
          </w:rPr>
          <w:fldChar w:fldCharType="separate"/>
        </w:r>
        <w:r w:rsidR="003F789A">
          <w:rPr>
            <w:webHidden/>
          </w:rPr>
          <w:t>4</w:t>
        </w:r>
        <w:r w:rsidR="003F789A">
          <w:rPr>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40" w:history="1">
        <w:r w:rsidR="003F789A" w:rsidRPr="00994F11">
          <w:rPr>
            <w:rStyle w:val="Hyperlink"/>
            <w:noProof/>
          </w:rPr>
          <w:t>2.2.1</w:t>
        </w:r>
        <w:r w:rsidR="003F789A">
          <w:rPr>
            <w:rFonts w:ascii="Times New Roman" w:hAnsi="Times New Roman"/>
            <w:noProof/>
            <w:color w:val="auto"/>
            <w:sz w:val="24"/>
            <w:szCs w:val="24"/>
          </w:rPr>
          <w:tab/>
        </w:r>
        <w:r w:rsidR="003F789A" w:rsidRPr="00994F11">
          <w:rPr>
            <w:rStyle w:val="Hyperlink"/>
            <w:noProof/>
          </w:rPr>
          <w:t>Held values and principles</w:t>
        </w:r>
        <w:r w:rsidR="003F789A">
          <w:rPr>
            <w:noProof/>
            <w:webHidden/>
          </w:rPr>
          <w:tab/>
        </w:r>
        <w:r w:rsidR="003F789A">
          <w:rPr>
            <w:noProof/>
            <w:webHidden/>
          </w:rPr>
          <w:fldChar w:fldCharType="begin"/>
        </w:r>
        <w:r w:rsidR="003F789A">
          <w:rPr>
            <w:noProof/>
            <w:webHidden/>
          </w:rPr>
          <w:instrText xml:space="preserve"> PAGEREF _Toc436916040 \h </w:instrText>
        </w:r>
        <w:r w:rsidR="003F789A">
          <w:rPr>
            <w:noProof/>
            <w:webHidden/>
          </w:rPr>
        </w:r>
        <w:r w:rsidR="003F789A">
          <w:rPr>
            <w:noProof/>
            <w:webHidden/>
          </w:rPr>
          <w:fldChar w:fldCharType="separate"/>
        </w:r>
        <w:r w:rsidR="003F789A">
          <w:rPr>
            <w:noProof/>
            <w:webHidden/>
          </w:rPr>
          <w:t>5</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41" w:history="1">
        <w:r w:rsidR="003F789A" w:rsidRPr="00994F11">
          <w:rPr>
            <w:rStyle w:val="Hyperlink"/>
            <w:noProof/>
          </w:rPr>
          <w:t>2.2.2</w:t>
        </w:r>
        <w:r w:rsidR="003F789A">
          <w:rPr>
            <w:rFonts w:ascii="Times New Roman" w:hAnsi="Times New Roman"/>
            <w:noProof/>
            <w:color w:val="auto"/>
            <w:sz w:val="24"/>
            <w:szCs w:val="24"/>
          </w:rPr>
          <w:tab/>
        </w:r>
        <w:r w:rsidR="003F789A" w:rsidRPr="00994F11">
          <w:rPr>
            <w:rStyle w:val="Hyperlink"/>
            <w:noProof/>
          </w:rPr>
          <w:t>Social-ecological values</w:t>
        </w:r>
        <w:r w:rsidR="003F789A">
          <w:rPr>
            <w:noProof/>
            <w:webHidden/>
          </w:rPr>
          <w:tab/>
        </w:r>
        <w:r w:rsidR="003F789A">
          <w:rPr>
            <w:noProof/>
            <w:webHidden/>
          </w:rPr>
          <w:fldChar w:fldCharType="begin"/>
        </w:r>
        <w:r w:rsidR="003F789A">
          <w:rPr>
            <w:noProof/>
            <w:webHidden/>
          </w:rPr>
          <w:instrText xml:space="preserve"> PAGEREF _Toc436916041 \h </w:instrText>
        </w:r>
        <w:r w:rsidR="003F789A">
          <w:rPr>
            <w:noProof/>
            <w:webHidden/>
          </w:rPr>
        </w:r>
        <w:r w:rsidR="003F789A">
          <w:rPr>
            <w:noProof/>
            <w:webHidden/>
          </w:rPr>
          <w:fldChar w:fldCharType="separate"/>
        </w:r>
        <w:r w:rsidR="003F789A">
          <w:rPr>
            <w:noProof/>
            <w:webHidden/>
          </w:rPr>
          <w:t>6</w:t>
        </w:r>
        <w:r w:rsidR="003F789A">
          <w:rPr>
            <w:noProof/>
            <w:webHidden/>
          </w:rPr>
          <w:fldChar w:fldCharType="end"/>
        </w:r>
      </w:hyperlink>
    </w:p>
    <w:p w:rsidR="003F789A" w:rsidRDefault="006B65E3" w:rsidP="00015240">
      <w:pPr>
        <w:pStyle w:val="TOC2"/>
        <w:keepNext/>
        <w:jc w:val="left"/>
        <w:rPr>
          <w:rFonts w:ascii="Times New Roman" w:hAnsi="Times New Roman"/>
          <w:color w:val="auto"/>
          <w:sz w:val="24"/>
          <w:szCs w:val="24"/>
          <w:lang w:val="en-GB"/>
        </w:rPr>
      </w:pPr>
      <w:hyperlink w:anchor="_Toc436916042" w:history="1">
        <w:r w:rsidR="003F789A" w:rsidRPr="00994F11">
          <w:rPr>
            <w:rStyle w:val="Hyperlink"/>
            <w:rFonts w:ascii="Arial Bold" w:hAnsi="Arial Bold"/>
          </w:rPr>
          <w:t>2.3</w:t>
        </w:r>
        <w:r w:rsidR="003F789A">
          <w:rPr>
            <w:rFonts w:ascii="Times New Roman" w:hAnsi="Times New Roman"/>
            <w:color w:val="auto"/>
            <w:sz w:val="24"/>
            <w:szCs w:val="24"/>
            <w:lang w:val="en-GB"/>
          </w:rPr>
          <w:tab/>
        </w:r>
        <w:r w:rsidR="003F789A" w:rsidRPr="00994F11">
          <w:rPr>
            <w:rStyle w:val="Hyperlink"/>
            <w:rFonts w:ascii="Arial Bold" w:hAnsi="Arial Bold"/>
          </w:rPr>
          <w:t>Methods for socio-cultural valuation</w:t>
        </w:r>
        <w:r w:rsidR="003F789A">
          <w:rPr>
            <w:webHidden/>
          </w:rPr>
          <w:tab/>
        </w:r>
        <w:r w:rsidR="003F789A">
          <w:rPr>
            <w:webHidden/>
          </w:rPr>
          <w:fldChar w:fldCharType="begin"/>
        </w:r>
        <w:r w:rsidR="003F789A">
          <w:rPr>
            <w:webHidden/>
          </w:rPr>
          <w:instrText xml:space="preserve"> PAGEREF _Toc436916042 \h </w:instrText>
        </w:r>
        <w:r w:rsidR="003F789A">
          <w:rPr>
            <w:webHidden/>
          </w:rPr>
        </w:r>
        <w:r w:rsidR="003F789A">
          <w:rPr>
            <w:webHidden/>
          </w:rPr>
          <w:fldChar w:fldCharType="separate"/>
        </w:r>
        <w:r w:rsidR="003F789A">
          <w:rPr>
            <w:webHidden/>
          </w:rPr>
          <w:t>7</w:t>
        </w:r>
        <w:r w:rsidR="003F789A">
          <w:rPr>
            <w:webHidden/>
          </w:rPr>
          <w:fldChar w:fldCharType="end"/>
        </w:r>
      </w:hyperlink>
    </w:p>
    <w:p w:rsidR="003F789A" w:rsidRDefault="006B65E3" w:rsidP="00015240">
      <w:pPr>
        <w:pStyle w:val="TOC2"/>
        <w:keepNext/>
        <w:jc w:val="left"/>
        <w:rPr>
          <w:rFonts w:ascii="Times New Roman" w:hAnsi="Times New Roman"/>
          <w:color w:val="auto"/>
          <w:sz w:val="24"/>
          <w:szCs w:val="24"/>
          <w:lang w:val="en-GB"/>
        </w:rPr>
      </w:pPr>
      <w:hyperlink w:anchor="_Toc436916043" w:history="1">
        <w:r w:rsidR="003F789A" w:rsidRPr="00994F11">
          <w:rPr>
            <w:rStyle w:val="Hyperlink"/>
            <w:rFonts w:ascii="Arial Bold" w:hAnsi="Arial Bold"/>
          </w:rPr>
          <w:t>2.4</w:t>
        </w:r>
        <w:r w:rsidR="003F789A">
          <w:rPr>
            <w:rFonts w:ascii="Times New Roman" w:hAnsi="Times New Roman"/>
            <w:color w:val="auto"/>
            <w:sz w:val="24"/>
            <w:szCs w:val="24"/>
            <w:lang w:val="en-GB"/>
          </w:rPr>
          <w:tab/>
        </w:r>
        <w:r w:rsidR="003F789A" w:rsidRPr="00994F11">
          <w:rPr>
            <w:rStyle w:val="Hyperlink"/>
            <w:rFonts w:ascii="Arial Bold" w:hAnsi="Arial Bold"/>
          </w:rPr>
          <w:t>Socio-cultural valuation in this deliverable</w:t>
        </w:r>
        <w:r w:rsidR="003F789A">
          <w:rPr>
            <w:webHidden/>
          </w:rPr>
          <w:tab/>
        </w:r>
        <w:r w:rsidR="003F789A">
          <w:rPr>
            <w:webHidden/>
          </w:rPr>
          <w:fldChar w:fldCharType="begin"/>
        </w:r>
        <w:r w:rsidR="003F789A">
          <w:rPr>
            <w:webHidden/>
          </w:rPr>
          <w:instrText xml:space="preserve"> PAGEREF _Toc436916043 \h </w:instrText>
        </w:r>
        <w:r w:rsidR="003F789A">
          <w:rPr>
            <w:webHidden/>
          </w:rPr>
        </w:r>
        <w:r w:rsidR="003F789A">
          <w:rPr>
            <w:webHidden/>
          </w:rPr>
          <w:fldChar w:fldCharType="separate"/>
        </w:r>
        <w:r w:rsidR="003F789A">
          <w:rPr>
            <w:webHidden/>
          </w:rPr>
          <w:t>9</w:t>
        </w:r>
        <w:r w:rsidR="003F789A">
          <w:rPr>
            <w:webHidden/>
          </w:rPr>
          <w:fldChar w:fldCharType="end"/>
        </w:r>
      </w:hyperlink>
    </w:p>
    <w:p w:rsidR="003F789A" w:rsidRDefault="006B65E3" w:rsidP="00015240">
      <w:pPr>
        <w:pStyle w:val="TOC2"/>
        <w:keepNext/>
        <w:jc w:val="left"/>
        <w:rPr>
          <w:rFonts w:ascii="Times New Roman" w:hAnsi="Times New Roman"/>
          <w:color w:val="auto"/>
          <w:sz w:val="24"/>
          <w:szCs w:val="24"/>
          <w:lang w:val="en-GB"/>
        </w:rPr>
      </w:pPr>
      <w:hyperlink w:anchor="_Toc436916044" w:history="1">
        <w:r w:rsidR="003F789A" w:rsidRPr="00994F11">
          <w:rPr>
            <w:rStyle w:val="Hyperlink"/>
            <w:rFonts w:ascii="Arial Bold" w:hAnsi="Arial Bold"/>
          </w:rPr>
          <w:t>2.5</w:t>
        </w:r>
        <w:r w:rsidR="003F789A">
          <w:rPr>
            <w:rFonts w:ascii="Times New Roman" w:hAnsi="Times New Roman"/>
            <w:color w:val="auto"/>
            <w:sz w:val="24"/>
            <w:szCs w:val="24"/>
            <w:lang w:val="en-GB"/>
          </w:rPr>
          <w:tab/>
        </w:r>
        <w:r w:rsidR="003F789A" w:rsidRPr="00994F11">
          <w:rPr>
            <w:rStyle w:val="Hyperlink"/>
            <w:rFonts w:ascii="Arial Bold" w:hAnsi="Arial Bold"/>
          </w:rPr>
          <w:t>References</w:t>
        </w:r>
        <w:r w:rsidR="003F789A">
          <w:rPr>
            <w:webHidden/>
          </w:rPr>
          <w:tab/>
        </w:r>
        <w:r w:rsidR="003F789A">
          <w:rPr>
            <w:webHidden/>
          </w:rPr>
          <w:fldChar w:fldCharType="begin"/>
        </w:r>
        <w:r w:rsidR="003F789A">
          <w:rPr>
            <w:webHidden/>
          </w:rPr>
          <w:instrText xml:space="preserve"> PAGEREF _Toc436916044 \h </w:instrText>
        </w:r>
        <w:r w:rsidR="003F789A">
          <w:rPr>
            <w:webHidden/>
          </w:rPr>
        </w:r>
        <w:r w:rsidR="003F789A">
          <w:rPr>
            <w:webHidden/>
          </w:rPr>
          <w:fldChar w:fldCharType="separate"/>
        </w:r>
        <w:r w:rsidR="003F789A">
          <w:rPr>
            <w:webHidden/>
          </w:rPr>
          <w:t>9</w:t>
        </w:r>
        <w:r w:rsidR="003F789A">
          <w:rPr>
            <w:webHidden/>
          </w:rPr>
          <w:fldChar w:fldCharType="end"/>
        </w:r>
      </w:hyperlink>
    </w:p>
    <w:p w:rsidR="003F789A" w:rsidRDefault="003F789A" w:rsidP="00015240">
      <w:pPr>
        <w:pStyle w:val="TOC1"/>
        <w:keepNext/>
        <w:tabs>
          <w:tab w:val="left" w:pos="440"/>
          <w:tab w:val="right" w:leader="dot" w:pos="9016"/>
        </w:tabs>
        <w:jc w:val="left"/>
        <w:rPr>
          <w:rStyle w:val="Hyperlink"/>
          <w:noProof/>
        </w:rPr>
      </w:pPr>
    </w:p>
    <w:p w:rsidR="003F789A" w:rsidRDefault="006B65E3" w:rsidP="00015240">
      <w:pPr>
        <w:pStyle w:val="TOC1"/>
        <w:keepNext/>
        <w:tabs>
          <w:tab w:val="left" w:pos="440"/>
          <w:tab w:val="right" w:leader="dot" w:pos="9016"/>
        </w:tabs>
        <w:jc w:val="left"/>
        <w:rPr>
          <w:rFonts w:ascii="Times New Roman" w:hAnsi="Times New Roman"/>
          <w:noProof/>
          <w:color w:val="auto"/>
          <w:sz w:val="24"/>
          <w:szCs w:val="24"/>
        </w:rPr>
      </w:pPr>
      <w:hyperlink w:anchor="_Toc436916045" w:history="1">
        <w:r w:rsidR="003F789A" w:rsidRPr="00015240">
          <w:rPr>
            <w:rStyle w:val="Hyperlink"/>
            <w:b/>
            <w:noProof/>
          </w:rPr>
          <w:t>3</w:t>
        </w:r>
        <w:r w:rsidR="003F789A" w:rsidRPr="00994F11">
          <w:rPr>
            <w:rStyle w:val="Hyperlink"/>
            <w:noProof/>
          </w:rPr>
          <w:t>.</w:t>
        </w:r>
        <w:r w:rsidR="003F789A">
          <w:rPr>
            <w:rFonts w:ascii="Times New Roman" w:hAnsi="Times New Roman"/>
            <w:noProof/>
            <w:color w:val="auto"/>
            <w:sz w:val="24"/>
            <w:szCs w:val="24"/>
          </w:rPr>
          <w:tab/>
        </w:r>
        <w:r w:rsidR="003F789A" w:rsidRPr="00015240">
          <w:rPr>
            <w:rStyle w:val="Hyperlink"/>
            <w:b/>
            <w:noProof/>
          </w:rPr>
          <w:t>Multi-dimensional socio-cultural valuation methods</w:t>
        </w:r>
        <w:r w:rsidR="003F789A">
          <w:rPr>
            <w:noProof/>
            <w:webHidden/>
          </w:rPr>
          <w:tab/>
        </w:r>
        <w:r w:rsidR="003F789A">
          <w:rPr>
            <w:noProof/>
            <w:webHidden/>
          </w:rPr>
          <w:fldChar w:fldCharType="begin"/>
        </w:r>
        <w:r w:rsidR="003F789A">
          <w:rPr>
            <w:noProof/>
            <w:webHidden/>
          </w:rPr>
          <w:instrText xml:space="preserve"> PAGEREF _Toc436916045 \h </w:instrText>
        </w:r>
        <w:r w:rsidR="003F789A">
          <w:rPr>
            <w:noProof/>
            <w:webHidden/>
          </w:rPr>
        </w:r>
        <w:r w:rsidR="003F789A">
          <w:rPr>
            <w:noProof/>
            <w:webHidden/>
          </w:rPr>
          <w:fldChar w:fldCharType="separate"/>
        </w:r>
        <w:r w:rsidR="003F789A">
          <w:rPr>
            <w:noProof/>
            <w:webHidden/>
          </w:rPr>
          <w:t>12</w:t>
        </w:r>
        <w:r w:rsidR="003F789A">
          <w:rPr>
            <w:noProof/>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46" w:history="1">
        <w:r w:rsidR="003F789A" w:rsidRPr="00994F11">
          <w:rPr>
            <w:rStyle w:val="Hyperlink"/>
            <w:rFonts w:ascii="Arial Bold" w:hAnsi="Arial Bold"/>
          </w:rPr>
          <w:t>3.1</w:t>
        </w:r>
        <w:r w:rsidR="003F789A">
          <w:rPr>
            <w:rFonts w:ascii="Times New Roman" w:hAnsi="Times New Roman"/>
            <w:color w:val="auto"/>
            <w:sz w:val="24"/>
            <w:szCs w:val="24"/>
            <w:lang w:val="en-GB"/>
          </w:rPr>
          <w:tab/>
        </w:r>
        <w:r w:rsidR="003F789A" w:rsidRPr="00994F11">
          <w:rPr>
            <w:rStyle w:val="Hyperlink"/>
            <w:rFonts w:ascii="Arial Bold" w:hAnsi="Arial Bold"/>
          </w:rPr>
          <w:t>Introduction</w:t>
        </w:r>
        <w:r w:rsidR="003F789A">
          <w:rPr>
            <w:webHidden/>
          </w:rPr>
          <w:tab/>
        </w:r>
        <w:r w:rsidR="003F789A">
          <w:rPr>
            <w:webHidden/>
          </w:rPr>
          <w:fldChar w:fldCharType="begin"/>
        </w:r>
        <w:r w:rsidR="003F789A">
          <w:rPr>
            <w:webHidden/>
          </w:rPr>
          <w:instrText xml:space="preserve"> PAGEREF _Toc436916046 \h </w:instrText>
        </w:r>
        <w:r w:rsidR="003F789A">
          <w:rPr>
            <w:webHidden/>
          </w:rPr>
        </w:r>
        <w:r w:rsidR="003F789A">
          <w:rPr>
            <w:webHidden/>
          </w:rPr>
          <w:fldChar w:fldCharType="separate"/>
        </w:r>
        <w:r w:rsidR="003F789A">
          <w:rPr>
            <w:webHidden/>
          </w:rPr>
          <w:t>12</w:t>
        </w:r>
        <w:r w:rsidR="003F789A">
          <w:rPr>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tabs>
          <w:tab w:val="clear" w:pos="880"/>
          <w:tab w:val="left" w:pos="851"/>
        </w:tabs>
        <w:jc w:val="left"/>
        <w:rPr>
          <w:rFonts w:ascii="Times New Roman" w:hAnsi="Times New Roman"/>
          <w:color w:val="auto"/>
          <w:sz w:val="24"/>
          <w:szCs w:val="24"/>
          <w:lang w:val="en-GB"/>
        </w:rPr>
      </w:pPr>
      <w:hyperlink w:anchor="_Toc436916047" w:history="1">
        <w:r w:rsidR="003F789A" w:rsidRPr="00994F11">
          <w:rPr>
            <w:rStyle w:val="Hyperlink"/>
            <w:rFonts w:ascii="Arial Bold" w:hAnsi="Arial Bold"/>
            <w:bCs/>
          </w:rPr>
          <w:t xml:space="preserve">3.2   </w:t>
        </w:r>
        <w:r w:rsidR="003F789A">
          <w:rPr>
            <w:rStyle w:val="Hyperlink"/>
            <w:rFonts w:ascii="Arial Bold" w:hAnsi="Arial Bold"/>
            <w:bCs/>
          </w:rPr>
          <w:t xml:space="preserve">  </w:t>
        </w:r>
        <w:r w:rsidR="003F789A" w:rsidRPr="00994F11">
          <w:rPr>
            <w:rStyle w:val="Hyperlink"/>
            <w:rFonts w:ascii="Arial Bold" w:hAnsi="Arial Bold"/>
            <w:bCs/>
          </w:rPr>
          <w:t>Willingness to offset? Residents’ perspectives on compensating impacts from urban development through woodland restoration measures</w:t>
        </w:r>
        <w:r w:rsidR="003F789A">
          <w:rPr>
            <w:webHidden/>
          </w:rPr>
          <w:tab/>
        </w:r>
        <w:r w:rsidR="003F789A">
          <w:rPr>
            <w:webHidden/>
          </w:rPr>
          <w:fldChar w:fldCharType="begin"/>
        </w:r>
        <w:r w:rsidR="003F789A">
          <w:rPr>
            <w:webHidden/>
          </w:rPr>
          <w:instrText xml:space="preserve"> PAGEREF _Toc436916047 \h </w:instrText>
        </w:r>
        <w:r w:rsidR="003F789A">
          <w:rPr>
            <w:webHidden/>
          </w:rPr>
        </w:r>
        <w:r w:rsidR="003F789A">
          <w:rPr>
            <w:webHidden/>
          </w:rPr>
          <w:fldChar w:fldCharType="separate"/>
        </w:r>
        <w:r w:rsidR="003F789A">
          <w:rPr>
            <w:webHidden/>
          </w:rPr>
          <w:t>14</w:t>
        </w:r>
        <w:r w:rsidR="003F789A">
          <w:rPr>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48" w:history="1">
        <w:r w:rsidR="003F789A" w:rsidRPr="00994F11">
          <w:rPr>
            <w:rStyle w:val="Hyperlink"/>
            <w:noProof/>
          </w:rPr>
          <w:t>3.2.1</w:t>
        </w:r>
        <w:r w:rsidR="003F789A">
          <w:rPr>
            <w:rFonts w:ascii="Times New Roman" w:hAnsi="Times New Roman"/>
            <w:noProof/>
            <w:color w:val="auto"/>
            <w:sz w:val="24"/>
            <w:szCs w:val="24"/>
          </w:rPr>
          <w:tab/>
        </w:r>
        <w:r w:rsidR="003F789A" w:rsidRPr="00994F11">
          <w:rPr>
            <w:rStyle w:val="Hyperlink"/>
            <w:noProof/>
          </w:rPr>
          <w:t>Introduction</w:t>
        </w:r>
        <w:r w:rsidR="003F789A">
          <w:rPr>
            <w:noProof/>
            <w:webHidden/>
          </w:rPr>
          <w:tab/>
        </w:r>
        <w:r w:rsidR="003F789A">
          <w:rPr>
            <w:noProof/>
            <w:webHidden/>
          </w:rPr>
          <w:fldChar w:fldCharType="begin"/>
        </w:r>
        <w:r w:rsidR="003F789A">
          <w:rPr>
            <w:noProof/>
            <w:webHidden/>
          </w:rPr>
          <w:instrText xml:space="preserve"> PAGEREF _Toc436916048 \h </w:instrText>
        </w:r>
        <w:r w:rsidR="003F789A">
          <w:rPr>
            <w:noProof/>
            <w:webHidden/>
          </w:rPr>
        </w:r>
        <w:r w:rsidR="003F789A">
          <w:rPr>
            <w:noProof/>
            <w:webHidden/>
          </w:rPr>
          <w:fldChar w:fldCharType="separate"/>
        </w:r>
        <w:r w:rsidR="003F789A">
          <w:rPr>
            <w:noProof/>
            <w:webHidden/>
          </w:rPr>
          <w:t>14</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49" w:history="1">
        <w:r w:rsidR="003F789A" w:rsidRPr="00994F11">
          <w:rPr>
            <w:rStyle w:val="Hyperlink"/>
            <w:noProof/>
          </w:rPr>
          <w:t>3.2.2</w:t>
        </w:r>
        <w:r w:rsidR="003F789A">
          <w:rPr>
            <w:rFonts w:ascii="Times New Roman" w:hAnsi="Times New Roman"/>
            <w:noProof/>
            <w:color w:val="auto"/>
            <w:sz w:val="24"/>
            <w:szCs w:val="24"/>
          </w:rPr>
          <w:tab/>
        </w:r>
        <w:r w:rsidR="003F789A" w:rsidRPr="00994F11">
          <w:rPr>
            <w:rStyle w:val="Hyperlink"/>
            <w:noProof/>
          </w:rPr>
          <w:t>Study area</w:t>
        </w:r>
        <w:r w:rsidR="003F789A">
          <w:rPr>
            <w:noProof/>
            <w:webHidden/>
          </w:rPr>
          <w:tab/>
        </w:r>
        <w:r w:rsidR="003F789A">
          <w:rPr>
            <w:noProof/>
            <w:webHidden/>
          </w:rPr>
          <w:fldChar w:fldCharType="begin"/>
        </w:r>
        <w:r w:rsidR="003F789A">
          <w:rPr>
            <w:noProof/>
            <w:webHidden/>
          </w:rPr>
          <w:instrText xml:space="preserve"> PAGEREF _Toc436916049 \h </w:instrText>
        </w:r>
        <w:r w:rsidR="003F789A">
          <w:rPr>
            <w:noProof/>
            <w:webHidden/>
          </w:rPr>
        </w:r>
        <w:r w:rsidR="003F789A">
          <w:rPr>
            <w:noProof/>
            <w:webHidden/>
          </w:rPr>
          <w:fldChar w:fldCharType="separate"/>
        </w:r>
        <w:r w:rsidR="003F789A">
          <w:rPr>
            <w:noProof/>
            <w:webHidden/>
          </w:rPr>
          <w:t>15</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0" w:history="1">
        <w:r w:rsidR="003F789A" w:rsidRPr="00994F11">
          <w:rPr>
            <w:rStyle w:val="Hyperlink"/>
            <w:noProof/>
          </w:rPr>
          <w:t>3.2.3</w:t>
        </w:r>
        <w:r w:rsidR="003F789A">
          <w:rPr>
            <w:rFonts w:ascii="Times New Roman" w:hAnsi="Times New Roman"/>
            <w:noProof/>
            <w:color w:val="auto"/>
            <w:sz w:val="24"/>
            <w:szCs w:val="24"/>
          </w:rPr>
          <w:tab/>
        </w:r>
        <w:r w:rsidR="003F789A" w:rsidRPr="00994F11">
          <w:rPr>
            <w:rStyle w:val="Hyperlink"/>
            <w:noProof/>
          </w:rPr>
          <w:t>Methods</w:t>
        </w:r>
        <w:r w:rsidR="003F789A">
          <w:rPr>
            <w:noProof/>
            <w:webHidden/>
          </w:rPr>
          <w:tab/>
        </w:r>
        <w:r w:rsidR="003F789A">
          <w:rPr>
            <w:noProof/>
            <w:webHidden/>
          </w:rPr>
          <w:fldChar w:fldCharType="begin"/>
        </w:r>
        <w:r w:rsidR="003F789A">
          <w:rPr>
            <w:noProof/>
            <w:webHidden/>
          </w:rPr>
          <w:instrText xml:space="preserve"> PAGEREF _Toc436916050 \h </w:instrText>
        </w:r>
        <w:r w:rsidR="003F789A">
          <w:rPr>
            <w:noProof/>
            <w:webHidden/>
          </w:rPr>
        </w:r>
        <w:r w:rsidR="003F789A">
          <w:rPr>
            <w:noProof/>
            <w:webHidden/>
          </w:rPr>
          <w:fldChar w:fldCharType="separate"/>
        </w:r>
        <w:r w:rsidR="003F789A">
          <w:rPr>
            <w:noProof/>
            <w:webHidden/>
          </w:rPr>
          <w:t>16</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1" w:history="1">
        <w:r w:rsidR="003F789A" w:rsidRPr="00994F11">
          <w:rPr>
            <w:rStyle w:val="Hyperlink"/>
            <w:noProof/>
          </w:rPr>
          <w:t>3.2.4</w:t>
        </w:r>
        <w:r w:rsidR="003F789A">
          <w:rPr>
            <w:rFonts w:ascii="Times New Roman" w:hAnsi="Times New Roman"/>
            <w:noProof/>
            <w:color w:val="auto"/>
            <w:sz w:val="24"/>
            <w:szCs w:val="24"/>
          </w:rPr>
          <w:tab/>
        </w:r>
        <w:r w:rsidR="003F789A" w:rsidRPr="00994F11">
          <w:rPr>
            <w:rStyle w:val="Hyperlink"/>
            <w:noProof/>
          </w:rPr>
          <w:t>Results</w:t>
        </w:r>
        <w:r w:rsidR="003F789A">
          <w:rPr>
            <w:noProof/>
            <w:webHidden/>
          </w:rPr>
          <w:tab/>
        </w:r>
        <w:r w:rsidR="003F789A">
          <w:rPr>
            <w:noProof/>
            <w:webHidden/>
          </w:rPr>
          <w:fldChar w:fldCharType="begin"/>
        </w:r>
        <w:r w:rsidR="003F789A">
          <w:rPr>
            <w:noProof/>
            <w:webHidden/>
          </w:rPr>
          <w:instrText xml:space="preserve"> PAGEREF _Toc436916051 \h </w:instrText>
        </w:r>
        <w:r w:rsidR="003F789A">
          <w:rPr>
            <w:noProof/>
            <w:webHidden/>
          </w:rPr>
        </w:r>
        <w:r w:rsidR="003F789A">
          <w:rPr>
            <w:noProof/>
            <w:webHidden/>
          </w:rPr>
          <w:fldChar w:fldCharType="separate"/>
        </w:r>
        <w:r w:rsidR="003F789A">
          <w:rPr>
            <w:noProof/>
            <w:webHidden/>
          </w:rPr>
          <w:t>22</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2" w:history="1">
        <w:r w:rsidR="003F789A" w:rsidRPr="00994F11">
          <w:rPr>
            <w:rStyle w:val="Hyperlink"/>
            <w:noProof/>
          </w:rPr>
          <w:t>3.2.5</w:t>
        </w:r>
        <w:r w:rsidR="003F789A">
          <w:rPr>
            <w:rFonts w:ascii="Times New Roman" w:hAnsi="Times New Roman"/>
            <w:noProof/>
            <w:color w:val="auto"/>
            <w:sz w:val="24"/>
            <w:szCs w:val="24"/>
          </w:rPr>
          <w:tab/>
        </w:r>
        <w:r w:rsidR="003F789A" w:rsidRPr="00994F11">
          <w:rPr>
            <w:rStyle w:val="Hyperlink"/>
            <w:noProof/>
          </w:rPr>
          <w:t>Discussion</w:t>
        </w:r>
        <w:r w:rsidR="003F789A">
          <w:rPr>
            <w:noProof/>
            <w:webHidden/>
          </w:rPr>
          <w:tab/>
        </w:r>
        <w:r w:rsidR="003F789A">
          <w:rPr>
            <w:noProof/>
            <w:webHidden/>
          </w:rPr>
          <w:fldChar w:fldCharType="begin"/>
        </w:r>
        <w:r w:rsidR="003F789A">
          <w:rPr>
            <w:noProof/>
            <w:webHidden/>
          </w:rPr>
          <w:instrText xml:space="preserve"> PAGEREF _Toc436916052 \h </w:instrText>
        </w:r>
        <w:r w:rsidR="003F789A">
          <w:rPr>
            <w:noProof/>
            <w:webHidden/>
          </w:rPr>
        </w:r>
        <w:r w:rsidR="003F789A">
          <w:rPr>
            <w:noProof/>
            <w:webHidden/>
          </w:rPr>
          <w:fldChar w:fldCharType="separate"/>
        </w:r>
        <w:r w:rsidR="003F789A">
          <w:rPr>
            <w:noProof/>
            <w:webHidden/>
          </w:rPr>
          <w:t>31</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3" w:history="1">
        <w:r w:rsidR="003F789A" w:rsidRPr="00994F11">
          <w:rPr>
            <w:rStyle w:val="Hyperlink"/>
            <w:noProof/>
          </w:rPr>
          <w:t>3.2.6</w:t>
        </w:r>
        <w:r w:rsidR="003F789A">
          <w:rPr>
            <w:rFonts w:ascii="Times New Roman" w:hAnsi="Times New Roman"/>
            <w:noProof/>
            <w:color w:val="auto"/>
            <w:sz w:val="24"/>
            <w:szCs w:val="24"/>
          </w:rPr>
          <w:tab/>
        </w:r>
        <w:r w:rsidR="003F789A" w:rsidRPr="00994F11">
          <w:rPr>
            <w:rStyle w:val="Hyperlink"/>
            <w:noProof/>
          </w:rPr>
          <w:t>Conclusion</w:t>
        </w:r>
        <w:r w:rsidR="003F789A">
          <w:rPr>
            <w:noProof/>
            <w:webHidden/>
          </w:rPr>
          <w:tab/>
        </w:r>
        <w:r w:rsidR="003F789A">
          <w:rPr>
            <w:noProof/>
            <w:webHidden/>
          </w:rPr>
          <w:fldChar w:fldCharType="begin"/>
        </w:r>
        <w:r w:rsidR="003F789A">
          <w:rPr>
            <w:noProof/>
            <w:webHidden/>
          </w:rPr>
          <w:instrText xml:space="preserve"> PAGEREF _Toc436916053 \h </w:instrText>
        </w:r>
        <w:r w:rsidR="003F789A">
          <w:rPr>
            <w:noProof/>
            <w:webHidden/>
          </w:rPr>
        </w:r>
        <w:r w:rsidR="003F789A">
          <w:rPr>
            <w:noProof/>
            <w:webHidden/>
          </w:rPr>
          <w:fldChar w:fldCharType="separate"/>
        </w:r>
        <w:r w:rsidR="003F789A">
          <w:rPr>
            <w:noProof/>
            <w:webHidden/>
          </w:rPr>
          <w:t>33</w:t>
        </w:r>
        <w:r w:rsidR="003F789A">
          <w:rPr>
            <w:noProof/>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54" w:history="1">
        <w:r w:rsidR="003F789A" w:rsidRPr="00994F11">
          <w:rPr>
            <w:rStyle w:val="Hyperlink"/>
            <w:rFonts w:ascii="Arial Bold" w:hAnsi="Arial Bold"/>
          </w:rPr>
          <w:t>3.3</w:t>
        </w:r>
        <w:r w:rsidR="003F789A">
          <w:rPr>
            <w:rFonts w:ascii="Times New Roman" w:hAnsi="Times New Roman"/>
            <w:color w:val="auto"/>
            <w:sz w:val="24"/>
            <w:szCs w:val="24"/>
            <w:lang w:val="en-GB"/>
          </w:rPr>
          <w:tab/>
        </w:r>
        <w:r w:rsidR="003F789A" w:rsidRPr="00994F11">
          <w:rPr>
            <w:rStyle w:val="Hyperlink"/>
            <w:rFonts w:ascii="Arial Bold" w:hAnsi="Arial Bold"/>
          </w:rPr>
          <w:t>Testing non-monetary methods for social valuation of ecosystem services to explain trade-off in land management in Scotland</w:t>
        </w:r>
        <w:r w:rsidR="003F789A">
          <w:rPr>
            <w:webHidden/>
          </w:rPr>
          <w:tab/>
        </w:r>
        <w:r w:rsidR="003F789A">
          <w:rPr>
            <w:webHidden/>
          </w:rPr>
          <w:fldChar w:fldCharType="begin"/>
        </w:r>
        <w:r w:rsidR="003F789A">
          <w:rPr>
            <w:webHidden/>
          </w:rPr>
          <w:instrText xml:space="preserve"> PAGEREF _Toc436916054 \h </w:instrText>
        </w:r>
        <w:r w:rsidR="003F789A">
          <w:rPr>
            <w:webHidden/>
          </w:rPr>
        </w:r>
        <w:r w:rsidR="003F789A">
          <w:rPr>
            <w:webHidden/>
          </w:rPr>
          <w:fldChar w:fldCharType="separate"/>
        </w:r>
        <w:r w:rsidR="003F789A">
          <w:rPr>
            <w:webHidden/>
          </w:rPr>
          <w:t>38</w:t>
        </w:r>
        <w:r w:rsidR="003F789A">
          <w:rPr>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5" w:history="1">
        <w:r w:rsidR="003F789A" w:rsidRPr="00994F11">
          <w:rPr>
            <w:rStyle w:val="Hyperlink"/>
            <w:noProof/>
          </w:rPr>
          <w:t>3.3.1</w:t>
        </w:r>
        <w:r w:rsidR="003F789A">
          <w:rPr>
            <w:rFonts w:ascii="Times New Roman" w:hAnsi="Times New Roman"/>
            <w:noProof/>
            <w:color w:val="auto"/>
            <w:sz w:val="24"/>
            <w:szCs w:val="24"/>
          </w:rPr>
          <w:tab/>
        </w:r>
        <w:r w:rsidR="003F789A" w:rsidRPr="00994F11">
          <w:rPr>
            <w:rStyle w:val="Hyperlink"/>
            <w:noProof/>
          </w:rPr>
          <w:t>Introduction</w:t>
        </w:r>
        <w:r w:rsidR="003F789A">
          <w:rPr>
            <w:noProof/>
            <w:webHidden/>
          </w:rPr>
          <w:tab/>
        </w:r>
        <w:r w:rsidR="003F789A">
          <w:rPr>
            <w:noProof/>
            <w:webHidden/>
          </w:rPr>
          <w:fldChar w:fldCharType="begin"/>
        </w:r>
        <w:r w:rsidR="003F789A">
          <w:rPr>
            <w:noProof/>
            <w:webHidden/>
          </w:rPr>
          <w:instrText xml:space="preserve"> PAGEREF _Toc436916055 \h </w:instrText>
        </w:r>
        <w:r w:rsidR="003F789A">
          <w:rPr>
            <w:noProof/>
            <w:webHidden/>
          </w:rPr>
        </w:r>
        <w:r w:rsidR="003F789A">
          <w:rPr>
            <w:noProof/>
            <w:webHidden/>
          </w:rPr>
          <w:fldChar w:fldCharType="separate"/>
        </w:r>
        <w:r w:rsidR="003F789A">
          <w:rPr>
            <w:noProof/>
            <w:webHidden/>
          </w:rPr>
          <w:t>38</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6" w:history="1">
        <w:r w:rsidR="003F789A" w:rsidRPr="00994F11">
          <w:rPr>
            <w:rStyle w:val="Hyperlink"/>
            <w:noProof/>
          </w:rPr>
          <w:t>3.3.2</w:t>
        </w:r>
        <w:r w:rsidR="003F789A">
          <w:rPr>
            <w:rFonts w:ascii="Times New Roman" w:hAnsi="Times New Roman"/>
            <w:noProof/>
            <w:color w:val="auto"/>
            <w:sz w:val="24"/>
            <w:szCs w:val="24"/>
          </w:rPr>
          <w:tab/>
        </w:r>
        <w:r w:rsidR="003F789A" w:rsidRPr="00994F11">
          <w:rPr>
            <w:rStyle w:val="Hyperlink"/>
            <w:noProof/>
          </w:rPr>
          <w:t>Study area: Pentland Hills</w:t>
        </w:r>
        <w:r w:rsidR="003F789A">
          <w:rPr>
            <w:noProof/>
            <w:webHidden/>
          </w:rPr>
          <w:tab/>
        </w:r>
        <w:r w:rsidR="003F789A">
          <w:rPr>
            <w:noProof/>
            <w:webHidden/>
          </w:rPr>
          <w:fldChar w:fldCharType="begin"/>
        </w:r>
        <w:r w:rsidR="003F789A">
          <w:rPr>
            <w:noProof/>
            <w:webHidden/>
          </w:rPr>
          <w:instrText xml:space="preserve"> PAGEREF _Toc436916056 \h </w:instrText>
        </w:r>
        <w:r w:rsidR="003F789A">
          <w:rPr>
            <w:noProof/>
            <w:webHidden/>
          </w:rPr>
        </w:r>
        <w:r w:rsidR="003F789A">
          <w:rPr>
            <w:noProof/>
            <w:webHidden/>
          </w:rPr>
          <w:fldChar w:fldCharType="separate"/>
        </w:r>
        <w:r w:rsidR="003F789A">
          <w:rPr>
            <w:noProof/>
            <w:webHidden/>
          </w:rPr>
          <w:t>38</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7" w:history="1">
        <w:r w:rsidR="003F789A" w:rsidRPr="00994F11">
          <w:rPr>
            <w:rStyle w:val="Hyperlink"/>
            <w:noProof/>
          </w:rPr>
          <w:t>3.3.3</w:t>
        </w:r>
        <w:r w:rsidR="003F789A">
          <w:rPr>
            <w:rFonts w:ascii="Times New Roman" w:hAnsi="Times New Roman"/>
            <w:noProof/>
            <w:color w:val="auto"/>
            <w:sz w:val="24"/>
            <w:szCs w:val="24"/>
          </w:rPr>
          <w:tab/>
        </w:r>
        <w:r w:rsidR="003F789A" w:rsidRPr="00994F11">
          <w:rPr>
            <w:rStyle w:val="Hyperlink"/>
            <w:noProof/>
          </w:rPr>
          <w:t>Methods</w:t>
        </w:r>
        <w:r w:rsidR="003F789A">
          <w:rPr>
            <w:noProof/>
            <w:webHidden/>
          </w:rPr>
          <w:tab/>
        </w:r>
        <w:r w:rsidR="003F789A">
          <w:rPr>
            <w:noProof/>
            <w:webHidden/>
          </w:rPr>
          <w:fldChar w:fldCharType="begin"/>
        </w:r>
        <w:r w:rsidR="003F789A">
          <w:rPr>
            <w:noProof/>
            <w:webHidden/>
          </w:rPr>
          <w:instrText xml:space="preserve"> PAGEREF _Toc436916057 \h </w:instrText>
        </w:r>
        <w:r w:rsidR="003F789A">
          <w:rPr>
            <w:noProof/>
            <w:webHidden/>
          </w:rPr>
        </w:r>
        <w:r w:rsidR="003F789A">
          <w:rPr>
            <w:noProof/>
            <w:webHidden/>
          </w:rPr>
          <w:fldChar w:fldCharType="separate"/>
        </w:r>
        <w:r w:rsidR="003F789A">
          <w:rPr>
            <w:noProof/>
            <w:webHidden/>
          </w:rPr>
          <w:t>39</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8" w:history="1">
        <w:r w:rsidR="003F789A" w:rsidRPr="00994F11">
          <w:rPr>
            <w:rStyle w:val="Hyperlink"/>
            <w:noProof/>
          </w:rPr>
          <w:t>3.3.4</w:t>
        </w:r>
        <w:r w:rsidR="003F789A">
          <w:rPr>
            <w:rFonts w:ascii="Times New Roman" w:hAnsi="Times New Roman"/>
            <w:noProof/>
            <w:color w:val="auto"/>
            <w:sz w:val="24"/>
            <w:szCs w:val="24"/>
          </w:rPr>
          <w:tab/>
        </w:r>
        <w:r w:rsidR="003F789A" w:rsidRPr="00994F11">
          <w:rPr>
            <w:rStyle w:val="Hyperlink"/>
            <w:noProof/>
          </w:rPr>
          <w:t>Results</w:t>
        </w:r>
        <w:r w:rsidR="003F789A">
          <w:rPr>
            <w:noProof/>
            <w:webHidden/>
          </w:rPr>
          <w:tab/>
        </w:r>
        <w:r w:rsidR="003F789A">
          <w:rPr>
            <w:noProof/>
            <w:webHidden/>
          </w:rPr>
          <w:fldChar w:fldCharType="begin"/>
        </w:r>
        <w:r w:rsidR="003F789A">
          <w:rPr>
            <w:noProof/>
            <w:webHidden/>
          </w:rPr>
          <w:instrText xml:space="preserve"> PAGEREF _Toc436916058 \h </w:instrText>
        </w:r>
        <w:r w:rsidR="003F789A">
          <w:rPr>
            <w:noProof/>
            <w:webHidden/>
          </w:rPr>
        </w:r>
        <w:r w:rsidR="003F789A">
          <w:rPr>
            <w:noProof/>
            <w:webHidden/>
          </w:rPr>
          <w:fldChar w:fldCharType="separate"/>
        </w:r>
        <w:r w:rsidR="003F789A">
          <w:rPr>
            <w:noProof/>
            <w:webHidden/>
          </w:rPr>
          <w:t>42</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59" w:history="1">
        <w:r w:rsidR="003F789A" w:rsidRPr="00994F11">
          <w:rPr>
            <w:rStyle w:val="Hyperlink"/>
            <w:noProof/>
          </w:rPr>
          <w:t>3.3.5</w:t>
        </w:r>
        <w:r w:rsidR="003F789A">
          <w:rPr>
            <w:rFonts w:ascii="Times New Roman" w:hAnsi="Times New Roman"/>
            <w:noProof/>
            <w:color w:val="auto"/>
            <w:sz w:val="24"/>
            <w:szCs w:val="24"/>
          </w:rPr>
          <w:tab/>
        </w:r>
        <w:r w:rsidR="003F789A" w:rsidRPr="00994F11">
          <w:rPr>
            <w:rStyle w:val="Hyperlink"/>
            <w:noProof/>
          </w:rPr>
          <w:t>Discussion</w:t>
        </w:r>
        <w:r w:rsidR="003F789A">
          <w:rPr>
            <w:noProof/>
            <w:webHidden/>
          </w:rPr>
          <w:tab/>
        </w:r>
        <w:r w:rsidR="003F789A">
          <w:rPr>
            <w:noProof/>
            <w:webHidden/>
          </w:rPr>
          <w:fldChar w:fldCharType="begin"/>
        </w:r>
        <w:r w:rsidR="003F789A">
          <w:rPr>
            <w:noProof/>
            <w:webHidden/>
          </w:rPr>
          <w:instrText xml:space="preserve"> PAGEREF _Toc436916059 \h </w:instrText>
        </w:r>
        <w:r w:rsidR="003F789A">
          <w:rPr>
            <w:noProof/>
            <w:webHidden/>
          </w:rPr>
        </w:r>
        <w:r w:rsidR="003F789A">
          <w:rPr>
            <w:noProof/>
            <w:webHidden/>
          </w:rPr>
          <w:fldChar w:fldCharType="separate"/>
        </w:r>
        <w:r w:rsidR="003F789A">
          <w:rPr>
            <w:noProof/>
            <w:webHidden/>
          </w:rPr>
          <w:t>46</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60" w:history="1">
        <w:r w:rsidR="003F789A" w:rsidRPr="00994F11">
          <w:rPr>
            <w:rStyle w:val="Hyperlink"/>
            <w:noProof/>
          </w:rPr>
          <w:t>3.3.6</w:t>
        </w:r>
        <w:r w:rsidR="003F789A">
          <w:rPr>
            <w:rFonts w:ascii="Times New Roman" w:hAnsi="Times New Roman"/>
            <w:noProof/>
            <w:color w:val="auto"/>
            <w:sz w:val="24"/>
            <w:szCs w:val="24"/>
          </w:rPr>
          <w:tab/>
        </w:r>
        <w:r w:rsidR="003F789A" w:rsidRPr="00994F11">
          <w:rPr>
            <w:rStyle w:val="Hyperlink"/>
            <w:noProof/>
          </w:rPr>
          <w:t>Conclusion</w:t>
        </w:r>
        <w:r w:rsidR="003F789A">
          <w:rPr>
            <w:noProof/>
            <w:webHidden/>
          </w:rPr>
          <w:tab/>
        </w:r>
        <w:r w:rsidR="003F789A">
          <w:rPr>
            <w:noProof/>
            <w:webHidden/>
          </w:rPr>
          <w:fldChar w:fldCharType="begin"/>
        </w:r>
        <w:r w:rsidR="003F789A">
          <w:rPr>
            <w:noProof/>
            <w:webHidden/>
          </w:rPr>
          <w:instrText xml:space="preserve"> PAGEREF _Toc436916060 \h </w:instrText>
        </w:r>
        <w:r w:rsidR="003F789A">
          <w:rPr>
            <w:noProof/>
            <w:webHidden/>
          </w:rPr>
        </w:r>
        <w:r w:rsidR="003F789A">
          <w:rPr>
            <w:noProof/>
            <w:webHidden/>
          </w:rPr>
          <w:fldChar w:fldCharType="separate"/>
        </w:r>
        <w:r w:rsidR="003F789A">
          <w:rPr>
            <w:noProof/>
            <w:webHidden/>
          </w:rPr>
          <w:t>47</w:t>
        </w:r>
        <w:r w:rsidR="003F789A">
          <w:rPr>
            <w:noProof/>
            <w:webHidden/>
          </w:rPr>
          <w:fldChar w:fldCharType="end"/>
        </w:r>
      </w:hyperlink>
    </w:p>
    <w:p w:rsidR="003F789A" w:rsidRDefault="003F789A" w:rsidP="00015240">
      <w:pPr>
        <w:pStyle w:val="TOC1"/>
        <w:keepNext/>
        <w:tabs>
          <w:tab w:val="left" w:pos="440"/>
          <w:tab w:val="right" w:leader="dot" w:pos="9016"/>
        </w:tabs>
        <w:jc w:val="left"/>
        <w:rPr>
          <w:rStyle w:val="Hyperlink"/>
          <w:noProof/>
        </w:rPr>
      </w:pPr>
    </w:p>
    <w:p w:rsidR="003F789A" w:rsidRPr="00015240" w:rsidRDefault="003F789A" w:rsidP="00015240"/>
    <w:p w:rsidR="003F789A" w:rsidRDefault="006B65E3" w:rsidP="00015240">
      <w:pPr>
        <w:pStyle w:val="TOC1"/>
        <w:keepNext/>
        <w:tabs>
          <w:tab w:val="left" w:pos="440"/>
          <w:tab w:val="right" w:leader="dot" w:pos="9016"/>
        </w:tabs>
        <w:jc w:val="left"/>
        <w:rPr>
          <w:rFonts w:ascii="Times New Roman" w:hAnsi="Times New Roman"/>
          <w:noProof/>
          <w:color w:val="auto"/>
          <w:sz w:val="24"/>
          <w:szCs w:val="24"/>
        </w:rPr>
      </w:pPr>
      <w:hyperlink w:anchor="_Toc436916061" w:history="1">
        <w:r w:rsidR="003F789A" w:rsidRPr="00015240">
          <w:rPr>
            <w:rStyle w:val="Hyperlink"/>
            <w:b/>
            <w:noProof/>
          </w:rPr>
          <w:t>4</w:t>
        </w:r>
        <w:r w:rsidR="003F789A" w:rsidRPr="00015240">
          <w:rPr>
            <w:rFonts w:ascii="Times New Roman" w:hAnsi="Times New Roman"/>
            <w:b/>
            <w:noProof/>
            <w:color w:val="auto"/>
            <w:sz w:val="24"/>
            <w:szCs w:val="24"/>
          </w:rPr>
          <w:tab/>
        </w:r>
        <w:r w:rsidR="003F789A" w:rsidRPr="00015240">
          <w:rPr>
            <w:rStyle w:val="Hyperlink"/>
            <w:b/>
            <w:noProof/>
          </w:rPr>
          <w:t>Use of mapping and participatory mapping in socio-cultural valuation</w:t>
        </w:r>
        <w:r w:rsidR="003F789A">
          <w:rPr>
            <w:noProof/>
            <w:webHidden/>
          </w:rPr>
          <w:tab/>
        </w:r>
        <w:r w:rsidR="003F789A">
          <w:rPr>
            <w:noProof/>
            <w:webHidden/>
          </w:rPr>
          <w:fldChar w:fldCharType="begin"/>
        </w:r>
        <w:r w:rsidR="003F789A">
          <w:rPr>
            <w:noProof/>
            <w:webHidden/>
          </w:rPr>
          <w:instrText xml:space="preserve"> PAGEREF _Toc436916061 \h </w:instrText>
        </w:r>
        <w:r w:rsidR="003F789A">
          <w:rPr>
            <w:noProof/>
            <w:webHidden/>
          </w:rPr>
        </w:r>
        <w:r w:rsidR="003F789A">
          <w:rPr>
            <w:noProof/>
            <w:webHidden/>
          </w:rPr>
          <w:fldChar w:fldCharType="separate"/>
        </w:r>
        <w:r w:rsidR="003F789A">
          <w:rPr>
            <w:noProof/>
            <w:webHidden/>
          </w:rPr>
          <w:t>50</w:t>
        </w:r>
        <w:r w:rsidR="003F789A">
          <w:rPr>
            <w:noProof/>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62" w:history="1">
        <w:r w:rsidR="003F789A" w:rsidRPr="00994F11">
          <w:rPr>
            <w:rStyle w:val="Hyperlink"/>
            <w:rFonts w:ascii="Arial Bold" w:hAnsi="Arial Bold"/>
          </w:rPr>
          <w:t>4.1</w:t>
        </w:r>
        <w:r w:rsidR="003F789A">
          <w:rPr>
            <w:rFonts w:ascii="Times New Roman" w:hAnsi="Times New Roman"/>
            <w:color w:val="auto"/>
            <w:sz w:val="24"/>
            <w:szCs w:val="24"/>
            <w:lang w:val="en-GB"/>
          </w:rPr>
          <w:tab/>
        </w:r>
        <w:r w:rsidR="003F789A" w:rsidRPr="00994F11">
          <w:rPr>
            <w:rStyle w:val="Hyperlink"/>
            <w:rFonts w:ascii="Arial Bold" w:hAnsi="Arial Bold"/>
          </w:rPr>
          <w:t>Introduction</w:t>
        </w:r>
        <w:r w:rsidR="003F789A">
          <w:rPr>
            <w:webHidden/>
          </w:rPr>
          <w:tab/>
        </w:r>
        <w:r w:rsidR="003F789A">
          <w:rPr>
            <w:webHidden/>
          </w:rPr>
          <w:fldChar w:fldCharType="begin"/>
        </w:r>
        <w:r w:rsidR="003F789A">
          <w:rPr>
            <w:webHidden/>
          </w:rPr>
          <w:instrText xml:space="preserve"> PAGEREF _Toc436916062 \h </w:instrText>
        </w:r>
        <w:r w:rsidR="003F789A">
          <w:rPr>
            <w:webHidden/>
          </w:rPr>
        </w:r>
        <w:r w:rsidR="003F789A">
          <w:rPr>
            <w:webHidden/>
          </w:rPr>
          <w:fldChar w:fldCharType="separate"/>
        </w:r>
        <w:r w:rsidR="003F789A">
          <w:rPr>
            <w:webHidden/>
          </w:rPr>
          <w:t>50</w:t>
        </w:r>
        <w:r w:rsidR="003F789A">
          <w:rPr>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63" w:history="1">
        <w:r w:rsidR="003F789A" w:rsidRPr="00994F11">
          <w:rPr>
            <w:rStyle w:val="Hyperlink"/>
            <w:rFonts w:ascii="Arial Bold" w:hAnsi="Arial Bold"/>
          </w:rPr>
          <w:t>4.2</w:t>
        </w:r>
        <w:r w:rsidR="003F789A">
          <w:rPr>
            <w:rFonts w:ascii="Times New Roman" w:hAnsi="Times New Roman"/>
            <w:color w:val="auto"/>
            <w:sz w:val="24"/>
            <w:szCs w:val="24"/>
            <w:lang w:val="en-GB"/>
          </w:rPr>
          <w:tab/>
        </w:r>
        <w:r w:rsidR="003F789A" w:rsidRPr="00994F11">
          <w:rPr>
            <w:rStyle w:val="Hyperlink"/>
            <w:rFonts w:ascii="Arial Bold" w:hAnsi="Arial Bold"/>
          </w:rPr>
          <w:t xml:space="preserve">Using choice modelling to map aesthetic values at a landscape scale: </w:t>
        </w:r>
        <w:r w:rsidR="003F789A">
          <w:rPr>
            <w:rStyle w:val="Hyperlink"/>
            <w:rFonts w:ascii="Arial Bold" w:hAnsi="Arial Bold"/>
          </w:rPr>
          <w:t xml:space="preserve"> </w:t>
        </w:r>
        <w:r w:rsidR="003F789A" w:rsidRPr="00994F11">
          <w:rPr>
            <w:rStyle w:val="Hyperlink"/>
            <w:rFonts w:ascii="Arial Bold" w:hAnsi="Arial Bold"/>
          </w:rPr>
          <w:t>lessons from a Dutch case study</w:t>
        </w:r>
        <w:r w:rsidR="003F789A">
          <w:rPr>
            <w:webHidden/>
          </w:rPr>
          <w:tab/>
        </w:r>
        <w:r w:rsidR="003F789A">
          <w:rPr>
            <w:webHidden/>
          </w:rPr>
          <w:fldChar w:fldCharType="begin"/>
        </w:r>
        <w:r w:rsidR="003F789A">
          <w:rPr>
            <w:webHidden/>
          </w:rPr>
          <w:instrText xml:space="preserve"> PAGEREF _Toc436916063 \h </w:instrText>
        </w:r>
        <w:r w:rsidR="003F789A">
          <w:rPr>
            <w:webHidden/>
          </w:rPr>
        </w:r>
        <w:r w:rsidR="003F789A">
          <w:rPr>
            <w:webHidden/>
          </w:rPr>
          <w:fldChar w:fldCharType="separate"/>
        </w:r>
        <w:r w:rsidR="003F789A">
          <w:rPr>
            <w:webHidden/>
          </w:rPr>
          <w:t>51</w:t>
        </w:r>
        <w:r w:rsidR="003F789A">
          <w:rPr>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64" w:history="1">
        <w:r w:rsidR="003F789A" w:rsidRPr="00994F11">
          <w:rPr>
            <w:rStyle w:val="Hyperlink"/>
            <w:noProof/>
          </w:rPr>
          <w:t>4.2.1</w:t>
        </w:r>
        <w:r w:rsidR="003F789A">
          <w:rPr>
            <w:rFonts w:ascii="Times New Roman" w:hAnsi="Times New Roman"/>
            <w:noProof/>
            <w:color w:val="auto"/>
            <w:sz w:val="24"/>
            <w:szCs w:val="24"/>
          </w:rPr>
          <w:tab/>
        </w:r>
        <w:r w:rsidR="003F789A" w:rsidRPr="00994F11">
          <w:rPr>
            <w:rStyle w:val="Hyperlink"/>
            <w:noProof/>
          </w:rPr>
          <w:t>Introduction</w:t>
        </w:r>
        <w:r w:rsidR="003F789A">
          <w:rPr>
            <w:noProof/>
            <w:webHidden/>
          </w:rPr>
          <w:tab/>
        </w:r>
        <w:r w:rsidR="003F789A">
          <w:rPr>
            <w:noProof/>
            <w:webHidden/>
          </w:rPr>
          <w:fldChar w:fldCharType="begin"/>
        </w:r>
        <w:r w:rsidR="003F789A">
          <w:rPr>
            <w:noProof/>
            <w:webHidden/>
          </w:rPr>
          <w:instrText xml:space="preserve"> PAGEREF _Toc436916064 \h </w:instrText>
        </w:r>
        <w:r w:rsidR="003F789A">
          <w:rPr>
            <w:noProof/>
            <w:webHidden/>
          </w:rPr>
        </w:r>
        <w:r w:rsidR="003F789A">
          <w:rPr>
            <w:noProof/>
            <w:webHidden/>
          </w:rPr>
          <w:fldChar w:fldCharType="separate"/>
        </w:r>
        <w:r w:rsidR="003F789A">
          <w:rPr>
            <w:noProof/>
            <w:webHidden/>
          </w:rPr>
          <w:t>51</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65" w:history="1">
        <w:r w:rsidR="003F789A" w:rsidRPr="00994F11">
          <w:rPr>
            <w:rStyle w:val="Hyperlink"/>
            <w:noProof/>
          </w:rPr>
          <w:t>4.2.2</w:t>
        </w:r>
        <w:r w:rsidR="003F789A">
          <w:rPr>
            <w:rFonts w:ascii="Times New Roman" w:hAnsi="Times New Roman"/>
            <w:noProof/>
            <w:color w:val="auto"/>
            <w:sz w:val="24"/>
            <w:szCs w:val="24"/>
          </w:rPr>
          <w:tab/>
        </w:r>
        <w:r w:rsidR="003F789A" w:rsidRPr="00994F11">
          <w:rPr>
            <w:rStyle w:val="Hyperlink"/>
            <w:noProof/>
          </w:rPr>
          <w:t>Methods</w:t>
        </w:r>
        <w:r w:rsidR="003F789A">
          <w:rPr>
            <w:noProof/>
            <w:webHidden/>
          </w:rPr>
          <w:tab/>
        </w:r>
        <w:r w:rsidR="003F789A">
          <w:rPr>
            <w:noProof/>
            <w:webHidden/>
          </w:rPr>
          <w:fldChar w:fldCharType="begin"/>
        </w:r>
        <w:r w:rsidR="003F789A">
          <w:rPr>
            <w:noProof/>
            <w:webHidden/>
          </w:rPr>
          <w:instrText xml:space="preserve"> PAGEREF _Toc436916065 \h </w:instrText>
        </w:r>
        <w:r w:rsidR="003F789A">
          <w:rPr>
            <w:noProof/>
            <w:webHidden/>
          </w:rPr>
        </w:r>
        <w:r w:rsidR="003F789A">
          <w:rPr>
            <w:noProof/>
            <w:webHidden/>
          </w:rPr>
          <w:fldChar w:fldCharType="separate"/>
        </w:r>
        <w:r w:rsidR="003F789A">
          <w:rPr>
            <w:noProof/>
            <w:webHidden/>
          </w:rPr>
          <w:t>52</w:t>
        </w:r>
        <w:r w:rsidR="003F789A">
          <w:rPr>
            <w:noProof/>
            <w:webHidden/>
          </w:rPr>
          <w:fldChar w:fldCharType="end"/>
        </w:r>
      </w:hyperlink>
    </w:p>
    <w:p w:rsidR="003F789A" w:rsidRDefault="006B65E3" w:rsidP="00015240">
      <w:pPr>
        <w:pStyle w:val="TOC3"/>
        <w:keepNext/>
        <w:tabs>
          <w:tab w:val="right" w:leader="dot" w:pos="9016"/>
        </w:tabs>
        <w:jc w:val="left"/>
        <w:rPr>
          <w:rFonts w:ascii="Times New Roman" w:hAnsi="Times New Roman"/>
          <w:noProof/>
          <w:color w:val="auto"/>
          <w:sz w:val="24"/>
          <w:szCs w:val="24"/>
        </w:rPr>
      </w:pPr>
      <w:hyperlink w:anchor="_Toc436916066" w:history="1">
        <w:r w:rsidR="003F789A" w:rsidRPr="00994F11">
          <w:rPr>
            <w:rStyle w:val="Hyperlink"/>
            <w:noProof/>
          </w:rPr>
          <w:t xml:space="preserve">4.2.3 </w:t>
        </w:r>
        <w:r w:rsidR="003F789A">
          <w:rPr>
            <w:rStyle w:val="Hyperlink"/>
            <w:noProof/>
          </w:rPr>
          <w:t xml:space="preserve">     </w:t>
        </w:r>
        <w:r w:rsidR="003F789A" w:rsidRPr="00994F11">
          <w:rPr>
            <w:rStyle w:val="Hyperlink"/>
            <w:noProof/>
          </w:rPr>
          <w:t>Results</w:t>
        </w:r>
        <w:r w:rsidR="003F789A">
          <w:rPr>
            <w:noProof/>
            <w:webHidden/>
          </w:rPr>
          <w:tab/>
        </w:r>
        <w:r w:rsidR="003F789A">
          <w:rPr>
            <w:noProof/>
            <w:webHidden/>
          </w:rPr>
          <w:fldChar w:fldCharType="begin"/>
        </w:r>
        <w:r w:rsidR="003F789A">
          <w:rPr>
            <w:noProof/>
            <w:webHidden/>
          </w:rPr>
          <w:instrText xml:space="preserve"> PAGEREF _Toc436916066 \h </w:instrText>
        </w:r>
        <w:r w:rsidR="003F789A">
          <w:rPr>
            <w:noProof/>
            <w:webHidden/>
          </w:rPr>
        </w:r>
        <w:r w:rsidR="003F789A">
          <w:rPr>
            <w:noProof/>
            <w:webHidden/>
          </w:rPr>
          <w:fldChar w:fldCharType="separate"/>
        </w:r>
        <w:r w:rsidR="003F789A">
          <w:rPr>
            <w:noProof/>
            <w:webHidden/>
          </w:rPr>
          <w:t>59</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68" w:history="1">
        <w:r w:rsidR="003F789A" w:rsidRPr="00994F11">
          <w:rPr>
            <w:rStyle w:val="Hyperlink"/>
            <w:noProof/>
          </w:rPr>
          <w:t>4.2.4</w:t>
        </w:r>
        <w:r w:rsidR="003F789A">
          <w:rPr>
            <w:rFonts w:ascii="Times New Roman" w:hAnsi="Times New Roman"/>
            <w:noProof/>
            <w:color w:val="auto"/>
            <w:sz w:val="24"/>
            <w:szCs w:val="24"/>
          </w:rPr>
          <w:tab/>
        </w:r>
        <w:r w:rsidR="003F789A" w:rsidRPr="00994F11">
          <w:rPr>
            <w:rStyle w:val="Hyperlink"/>
            <w:noProof/>
          </w:rPr>
          <w:t>Discussion</w:t>
        </w:r>
        <w:r w:rsidR="003F789A">
          <w:rPr>
            <w:noProof/>
            <w:webHidden/>
          </w:rPr>
          <w:tab/>
        </w:r>
        <w:r w:rsidR="003F789A">
          <w:rPr>
            <w:noProof/>
            <w:webHidden/>
          </w:rPr>
          <w:fldChar w:fldCharType="begin"/>
        </w:r>
        <w:r w:rsidR="003F789A">
          <w:rPr>
            <w:noProof/>
            <w:webHidden/>
          </w:rPr>
          <w:instrText xml:space="preserve"> PAGEREF _Toc436916068 \h </w:instrText>
        </w:r>
        <w:r w:rsidR="003F789A">
          <w:rPr>
            <w:noProof/>
            <w:webHidden/>
          </w:rPr>
        </w:r>
        <w:r w:rsidR="003F789A">
          <w:rPr>
            <w:noProof/>
            <w:webHidden/>
          </w:rPr>
          <w:fldChar w:fldCharType="separate"/>
        </w:r>
        <w:r w:rsidR="003F789A">
          <w:rPr>
            <w:noProof/>
            <w:webHidden/>
          </w:rPr>
          <w:t>62</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69" w:history="1">
        <w:r w:rsidR="003F789A" w:rsidRPr="00994F11">
          <w:rPr>
            <w:rStyle w:val="Hyperlink"/>
            <w:noProof/>
          </w:rPr>
          <w:t>4.2.5</w:t>
        </w:r>
        <w:r w:rsidR="003F789A">
          <w:rPr>
            <w:rFonts w:ascii="Times New Roman" w:hAnsi="Times New Roman"/>
            <w:noProof/>
            <w:color w:val="auto"/>
            <w:sz w:val="24"/>
            <w:szCs w:val="24"/>
          </w:rPr>
          <w:tab/>
        </w:r>
        <w:r w:rsidR="003F789A" w:rsidRPr="00994F11">
          <w:rPr>
            <w:rStyle w:val="Hyperlink"/>
            <w:noProof/>
          </w:rPr>
          <w:t>Conclusions</w:t>
        </w:r>
        <w:r w:rsidR="003F789A">
          <w:rPr>
            <w:noProof/>
            <w:webHidden/>
          </w:rPr>
          <w:tab/>
        </w:r>
        <w:r w:rsidR="003F789A">
          <w:rPr>
            <w:noProof/>
            <w:webHidden/>
          </w:rPr>
          <w:fldChar w:fldCharType="begin"/>
        </w:r>
        <w:r w:rsidR="003F789A">
          <w:rPr>
            <w:noProof/>
            <w:webHidden/>
          </w:rPr>
          <w:instrText xml:space="preserve"> PAGEREF _Toc436916069 \h </w:instrText>
        </w:r>
        <w:r w:rsidR="003F789A">
          <w:rPr>
            <w:noProof/>
            <w:webHidden/>
          </w:rPr>
        </w:r>
        <w:r w:rsidR="003F789A">
          <w:rPr>
            <w:noProof/>
            <w:webHidden/>
          </w:rPr>
          <w:fldChar w:fldCharType="separate"/>
        </w:r>
        <w:r w:rsidR="003F789A">
          <w:rPr>
            <w:noProof/>
            <w:webHidden/>
          </w:rPr>
          <w:t>65</w:t>
        </w:r>
        <w:r w:rsidR="003F789A">
          <w:rPr>
            <w:noProof/>
            <w:webHidden/>
          </w:rPr>
          <w:fldChar w:fldCharType="end"/>
        </w:r>
      </w:hyperlink>
    </w:p>
    <w:p w:rsidR="003F789A" w:rsidRDefault="003F789A" w:rsidP="00015240">
      <w:pPr>
        <w:pStyle w:val="TOC1"/>
        <w:keepNext/>
        <w:tabs>
          <w:tab w:val="left" w:pos="440"/>
          <w:tab w:val="right" w:leader="dot" w:pos="9016"/>
        </w:tabs>
        <w:jc w:val="left"/>
        <w:rPr>
          <w:rStyle w:val="Hyperlink"/>
          <w:noProof/>
        </w:rPr>
      </w:pPr>
    </w:p>
    <w:p w:rsidR="003F789A" w:rsidRDefault="006B65E3" w:rsidP="00015240">
      <w:pPr>
        <w:pStyle w:val="TOC1"/>
        <w:keepNext/>
        <w:tabs>
          <w:tab w:val="left" w:pos="440"/>
          <w:tab w:val="right" w:leader="dot" w:pos="9016"/>
        </w:tabs>
        <w:jc w:val="left"/>
        <w:rPr>
          <w:rFonts w:ascii="Times New Roman" w:hAnsi="Times New Roman"/>
          <w:noProof/>
          <w:color w:val="auto"/>
          <w:sz w:val="24"/>
          <w:szCs w:val="24"/>
        </w:rPr>
      </w:pPr>
      <w:hyperlink w:anchor="_Toc436916070" w:history="1">
        <w:r w:rsidR="003F789A" w:rsidRPr="00015240">
          <w:rPr>
            <w:rStyle w:val="Hyperlink"/>
            <w:b/>
            <w:noProof/>
          </w:rPr>
          <w:t>5</w:t>
        </w:r>
        <w:r w:rsidR="003F789A" w:rsidRPr="00015240">
          <w:rPr>
            <w:rFonts w:ascii="Times New Roman" w:hAnsi="Times New Roman"/>
            <w:b/>
            <w:noProof/>
            <w:color w:val="auto"/>
            <w:sz w:val="24"/>
            <w:szCs w:val="24"/>
          </w:rPr>
          <w:tab/>
        </w:r>
        <w:r w:rsidR="003F789A" w:rsidRPr="00015240">
          <w:rPr>
            <w:rStyle w:val="Hyperlink"/>
            <w:b/>
            <w:noProof/>
          </w:rPr>
          <w:t>Applications of Socio-cultural valuation</w:t>
        </w:r>
        <w:r w:rsidR="003F789A">
          <w:rPr>
            <w:noProof/>
            <w:webHidden/>
          </w:rPr>
          <w:tab/>
        </w:r>
        <w:r w:rsidR="003F789A">
          <w:rPr>
            <w:noProof/>
            <w:webHidden/>
          </w:rPr>
          <w:fldChar w:fldCharType="begin"/>
        </w:r>
        <w:r w:rsidR="003F789A">
          <w:rPr>
            <w:noProof/>
            <w:webHidden/>
          </w:rPr>
          <w:instrText xml:space="preserve"> PAGEREF _Toc436916070 \h </w:instrText>
        </w:r>
        <w:r w:rsidR="003F789A">
          <w:rPr>
            <w:noProof/>
            <w:webHidden/>
          </w:rPr>
        </w:r>
        <w:r w:rsidR="003F789A">
          <w:rPr>
            <w:noProof/>
            <w:webHidden/>
          </w:rPr>
          <w:fldChar w:fldCharType="separate"/>
        </w:r>
        <w:r w:rsidR="003F789A">
          <w:rPr>
            <w:noProof/>
            <w:webHidden/>
          </w:rPr>
          <w:t>70</w:t>
        </w:r>
        <w:r w:rsidR="003F789A">
          <w:rPr>
            <w:noProof/>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71" w:history="1">
        <w:r w:rsidR="003F789A" w:rsidRPr="00994F11">
          <w:rPr>
            <w:rStyle w:val="Hyperlink"/>
            <w:rFonts w:ascii="Arial Bold" w:hAnsi="Arial Bold"/>
          </w:rPr>
          <w:t>5.1</w:t>
        </w:r>
        <w:r w:rsidR="003F789A">
          <w:rPr>
            <w:rFonts w:ascii="Times New Roman" w:hAnsi="Times New Roman"/>
            <w:color w:val="auto"/>
            <w:sz w:val="24"/>
            <w:szCs w:val="24"/>
            <w:lang w:val="en-GB"/>
          </w:rPr>
          <w:tab/>
        </w:r>
        <w:r w:rsidR="003F789A" w:rsidRPr="00994F11">
          <w:rPr>
            <w:rStyle w:val="Hyperlink"/>
            <w:rFonts w:ascii="Arial Bold" w:hAnsi="Arial Bold"/>
          </w:rPr>
          <w:t>Introduction</w:t>
        </w:r>
        <w:r w:rsidR="003F789A">
          <w:rPr>
            <w:webHidden/>
          </w:rPr>
          <w:tab/>
        </w:r>
        <w:r w:rsidR="003F789A">
          <w:rPr>
            <w:webHidden/>
          </w:rPr>
          <w:fldChar w:fldCharType="begin"/>
        </w:r>
        <w:r w:rsidR="003F789A">
          <w:rPr>
            <w:webHidden/>
          </w:rPr>
          <w:instrText xml:space="preserve"> PAGEREF _Toc436916071 \h </w:instrText>
        </w:r>
        <w:r w:rsidR="003F789A">
          <w:rPr>
            <w:webHidden/>
          </w:rPr>
        </w:r>
        <w:r w:rsidR="003F789A">
          <w:rPr>
            <w:webHidden/>
          </w:rPr>
          <w:fldChar w:fldCharType="separate"/>
        </w:r>
        <w:r w:rsidR="003F789A">
          <w:rPr>
            <w:webHidden/>
          </w:rPr>
          <w:t>70</w:t>
        </w:r>
        <w:r w:rsidR="003F789A">
          <w:rPr>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72" w:history="1">
        <w:r w:rsidR="003F789A" w:rsidRPr="00994F11">
          <w:rPr>
            <w:rStyle w:val="Hyperlink"/>
            <w:rFonts w:ascii="Arial Bold" w:hAnsi="Arial Bold"/>
          </w:rPr>
          <w:t>5.2</w:t>
        </w:r>
        <w:r w:rsidR="003F789A">
          <w:rPr>
            <w:rFonts w:ascii="Times New Roman" w:hAnsi="Times New Roman"/>
            <w:color w:val="auto"/>
            <w:sz w:val="24"/>
            <w:szCs w:val="24"/>
            <w:lang w:val="en-GB"/>
          </w:rPr>
          <w:tab/>
        </w:r>
        <w:r w:rsidR="003F789A" w:rsidRPr="00994F11">
          <w:rPr>
            <w:rStyle w:val="Hyperlink"/>
            <w:rFonts w:ascii="Arial Bold" w:hAnsi="Arial Bold"/>
          </w:rPr>
          <w:t>Public support for wetland restoration: What is the link with ecosystem service values?</w:t>
        </w:r>
        <w:r w:rsidR="003F789A">
          <w:rPr>
            <w:webHidden/>
          </w:rPr>
          <w:tab/>
        </w:r>
        <w:r w:rsidR="003F789A">
          <w:rPr>
            <w:webHidden/>
          </w:rPr>
          <w:fldChar w:fldCharType="begin"/>
        </w:r>
        <w:r w:rsidR="003F789A">
          <w:rPr>
            <w:webHidden/>
          </w:rPr>
          <w:instrText xml:space="preserve"> PAGEREF _Toc436916072 \h </w:instrText>
        </w:r>
        <w:r w:rsidR="003F789A">
          <w:rPr>
            <w:webHidden/>
          </w:rPr>
        </w:r>
        <w:r w:rsidR="003F789A">
          <w:rPr>
            <w:webHidden/>
          </w:rPr>
          <w:fldChar w:fldCharType="separate"/>
        </w:r>
        <w:r w:rsidR="003F789A">
          <w:rPr>
            <w:webHidden/>
          </w:rPr>
          <w:t>72</w:t>
        </w:r>
        <w:r w:rsidR="003F789A">
          <w:rPr>
            <w:webHidden/>
          </w:rPr>
          <w:fldChar w:fldCharType="end"/>
        </w:r>
      </w:hyperlink>
    </w:p>
    <w:p w:rsidR="003F789A" w:rsidRDefault="006B65E3" w:rsidP="00015240">
      <w:pPr>
        <w:pStyle w:val="TOC3"/>
        <w:keepNext/>
        <w:tabs>
          <w:tab w:val="right" w:leader="dot" w:pos="9016"/>
        </w:tabs>
        <w:jc w:val="left"/>
        <w:rPr>
          <w:rFonts w:ascii="Times New Roman" w:hAnsi="Times New Roman"/>
          <w:noProof/>
          <w:color w:val="auto"/>
          <w:sz w:val="24"/>
          <w:szCs w:val="24"/>
        </w:rPr>
      </w:pPr>
      <w:hyperlink w:anchor="_Toc436916073" w:history="1">
        <w:r w:rsidR="003F789A" w:rsidRPr="00994F11">
          <w:rPr>
            <w:rStyle w:val="Hyperlink"/>
            <w:noProof/>
          </w:rPr>
          <w:t>5.2.1 Introduction</w:t>
        </w:r>
        <w:r w:rsidR="003F789A">
          <w:rPr>
            <w:noProof/>
            <w:webHidden/>
          </w:rPr>
          <w:tab/>
        </w:r>
        <w:r w:rsidR="003F789A">
          <w:rPr>
            <w:noProof/>
            <w:webHidden/>
          </w:rPr>
          <w:fldChar w:fldCharType="begin"/>
        </w:r>
        <w:r w:rsidR="003F789A">
          <w:rPr>
            <w:noProof/>
            <w:webHidden/>
          </w:rPr>
          <w:instrText xml:space="preserve"> PAGEREF _Toc436916073 \h </w:instrText>
        </w:r>
        <w:r w:rsidR="003F789A">
          <w:rPr>
            <w:noProof/>
            <w:webHidden/>
          </w:rPr>
        </w:r>
        <w:r w:rsidR="003F789A">
          <w:rPr>
            <w:noProof/>
            <w:webHidden/>
          </w:rPr>
          <w:fldChar w:fldCharType="separate"/>
        </w:r>
        <w:r w:rsidR="003F789A">
          <w:rPr>
            <w:noProof/>
            <w:webHidden/>
          </w:rPr>
          <w:t>72</w:t>
        </w:r>
        <w:r w:rsidR="003F789A">
          <w:rPr>
            <w:noProof/>
            <w:webHidden/>
          </w:rPr>
          <w:fldChar w:fldCharType="end"/>
        </w:r>
      </w:hyperlink>
    </w:p>
    <w:p w:rsidR="003F789A" w:rsidRDefault="006B65E3" w:rsidP="00015240">
      <w:pPr>
        <w:pStyle w:val="TOC3"/>
        <w:keepNext/>
        <w:tabs>
          <w:tab w:val="right" w:leader="dot" w:pos="9016"/>
        </w:tabs>
        <w:jc w:val="left"/>
        <w:rPr>
          <w:rFonts w:ascii="Times New Roman" w:hAnsi="Times New Roman"/>
          <w:noProof/>
          <w:color w:val="auto"/>
          <w:sz w:val="24"/>
          <w:szCs w:val="24"/>
        </w:rPr>
      </w:pPr>
      <w:hyperlink w:anchor="_Toc436916074" w:history="1">
        <w:r w:rsidR="003F789A" w:rsidRPr="00994F11">
          <w:rPr>
            <w:rStyle w:val="Hyperlink"/>
            <w:noProof/>
          </w:rPr>
          <w:t>5.2.2 Methods</w:t>
        </w:r>
        <w:r w:rsidR="003F789A">
          <w:rPr>
            <w:noProof/>
            <w:webHidden/>
          </w:rPr>
          <w:tab/>
        </w:r>
        <w:r w:rsidR="003F789A">
          <w:rPr>
            <w:noProof/>
            <w:webHidden/>
          </w:rPr>
          <w:fldChar w:fldCharType="begin"/>
        </w:r>
        <w:r w:rsidR="003F789A">
          <w:rPr>
            <w:noProof/>
            <w:webHidden/>
          </w:rPr>
          <w:instrText xml:space="preserve"> PAGEREF _Toc436916074 \h </w:instrText>
        </w:r>
        <w:r w:rsidR="003F789A">
          <w:rPr>
            <w:noProof/>
            <w:webHidden/>
          </w:rPr>
        </w:r>
        <w:r w:rsidR="003F789A">
          <w:rPr>
            <w:noProof/>
            <w:webHidden/>
          </w:rPr>
          <w:fldChar w:fldCharType="separate"/>
        </w:r>
        <w:r w:rsidR="003F789A">
          <w:rPr>
            <w:noProof/>
            <w:webHidden/>
          </w:rPr>
          <w:t>74</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75" w:history="1">
        <w:r w:rsidR="003F789A" w:rsidRPr="00994F11">
          <w:rPr>
            <w:rStyle w:val="Hyperlink"/>
            <w:noProof/>
          </w:rPr>
          <w:t>5.2.3</w:t>
        </w:r>
        <w:r w:rsidR="003F789A">
          <w:rPr>
            <w:rFonts w:ascii="Times New Roman" w:hAnsi="Times New Roman"/>
            <w:noProof/>
            <w:color w:val="auto"/>
            <w:sz w:val="24"/>
            <w:szCs w:val="24"/>
          </w:rPr>
          <w:tab/>
        </w:r>
        <w:r w:rsidR="003F789A" w:rsidRPr="00994F11">
          <w:rPr>
            <w:rStyle w:val="Hyperlink"/>
            <w:noProof/>
          </w:rPr>
          <w:t>Results</w:t>
        </w:r>
        <w:r w:rsidR="003F789A">
          <w:rPr>
            <w:noProof/>
            <w:webHidden/>
          </w:rPr>
          <w:tab/>
        </w:r>
        <w:r w:rsidR="003F789A">
          <w:rPr>
            <w:noProof/>
            <w:webHidden/>
          </w:rPr>
          <w:fldChar w:fldCharType="begin"/>
        </w:r>
        <w:r w:rsidR="003F789A">
          <w:rPr>
            <w:noProof/>
            <w:webHidden/>
          </w:rPr>
          <w:instrText xml:space="preserve"> PAGEREF _Toc436916075 \h </w:instrText>
        </w:r>
        <w:r w:rsidR="003F789A">
          <w:rPr>
            <w:noProof/>
            <w:webHidden/>
          </w:rPr>
        </w:r>
        <w:r w:rsidR="003F789A">
          <w:rPr>
            <w:noProof/>
            <w:webHidden/>
          </w:rPr>
          <w:fldChar w:fldCharType="separate"/>
        </w:r>
        <w:r w:rsidR="003F789A">
          <w:rPr>
            <w:noProof/>
            <w:webHidden/>
          </w:rPr>
          <w:t>77</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76" w:history="1">
        <w:r w:rsidR="003F789A" w:rsidRPr="00994F11">
          <w:rPr>
            <w:rStyle w:val="Hyperlink"/>
            <w:noProof/>
          </w:rPr>
          <w:t>5.2.4</w:t>
        </w:r>
        <w:r w:rsidR="003F789A">
          <w:rPr>
            <w:rFonts w:ascii="Times New Roman" w:hAnsi="Times New Roman"/>
            <w:noProof/>
            <w:color w:val="auto"/>
            <w:sz w:val="24"/>
            <w:szCs w:val="24"/>
          </w:rPr>
          <w:tab/>
        </w:r>
        <w:r w:rsidR="003F789A" w:rsidRPr="00994F11">
          <w:rPr>
            <w:rStyle w:val="Hyperlink"/>
            <w:noProof/>
          </w:rPr>
          <w:t>Discussion</w:t>
        </w:r>
        <w:r w:rsidR="003F789A">
          <w:rPr>
            <w:noProof/>
            <w:webHidden/>
          </w:rPr>
          <w:tab/>
        </w:r>
        <w:r w:rsidR="003F789A">
          <w:rPr>
            <w:noProof/>
            <w:webHidden/>
          </w:rPr>
          <w:fldChar w:fldCharType="begin"/>
        </w:r>
        <w:r w:rsidR="003F789A">
          <w:rPr>
            <w:noProof/>
            <w:webHidden/>
          </w:rPr>
          <w:instrText xml:space="preserve"> PAGEREF _Toc436916076 \h </w:instrText>
        </w:r>
        <w:r w:rsidR="003F789A">
          <w:rPr>
            <w:noProof/>
            <w:webHidden/>
          </w:rPr>
        </w:r>
        <w:r w:rsidR="003F789A">
          <w:rPr>
            <w:noProof/>
            <w:webHidden/>
          </w:rPr>
          <w:fldChar w:fldCharType="separate"/>
        </w:r>
        <w:r w:rsidR="003F789A">
          <w:rPr>
            <w:noProof/>
            <w:webHidden/>
          </w:rPr>
          <w:t>82</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77" w:history="1">
        <w:r w:rsidR="003F789A" w:rsidRPr="00994F11">
          <w:rPr>
            <w:rStyle w:val="Hyperlink"/>
            <w:noProof/>
          </w:rPr>
          <w:t>5.2.5</w:t>
        </w:r>
        <w:r w:rsidR="003F789A">
          <w:rPr>
            <w:rFonts w:ascii="Times New Roman" w:hAnsi="Times New Roman"/>
            <w:noProof/>
            <w:color w:val="auto"/>
            <w:sz w:val="24"/>
            <w:szCs w:val="24"/>
          </w:rPr>
          <w:tab/>
        </w:r>
        <w:r w:rsidR="003F789A" w:rsidRPr="00994F11">
          <w:rPr>
            <w:rStyle w:val="Hyperlink"/>
            <w:noProof/>
          </w:rPr>
          <w:t>Acknowledgements</w:t>
        </w:r>
        <w:r w:rsidR="003F789A">
          <w:rPr>
            <w:noProof/>
            <w:webHidden/>
          </w:rPr>
          <w:tab/>
        </w:r>
        <w:r w:rsidR="003F789A">
          <w:rPr>
            <w:noProof/>
            <w:webHidden/>
          </w:rPr>
          <w:fldChar w:fldCharType="begin"/>
        </w:r>
        <w:r w:rsidR="003F789A">
          <w:rPr>
            <w:noProof/>
            <w:webHidden/>
          </w:rPr>
          <w:instrText xml:space="preserve"> PAGEREF _Toc436916077 \h </w:instrText>
        </w:r>
        <w:r w:rsidR="003F789A">
          <w:rPr>
            <w:noProof/>
            <w:webHidden/>
          </w:rPr>
        </w:r>
        <w:r w:rsidR="003F789A">
          <w:rPr>
            <w:noProof/>
            <w:webHidden/>
          </w:rPr>
          <w:fldChar w:fldCharType="separate"/>
        </w:r>
        <w:r w:rsidR="003F789A">
          <w:rPr>
            <w:noProof/>
            <w:webHidden/>
          </w:rPr>
          <w:t>86</w:t>
        </w:r>
        <w:r w:rsidR="003F789A">
          <w:rPr>
            <w:noProof/>
            <w:webHidden/>
          </w:rPr>
          <w:fldChar w:fldCharType="end"/>
        </w:r>
      </w:hyperlink>
    </w:p>
    <w:p w:rsidR="003F789A" w:rsidRDefault="003F789A" w:rsidP="00015240">
      <w:pPr>
        <w:pStyle w:val="TOC2"/>
        <w:keepNext/>
        <w:jc w:val="left"/>
        <w:rPr>
          <w:rStyle w:val="Hyperlink"/>
        </w:rPr>
      </w:pPr>
    </w:p>
    <w:p w:rsidR="003F789A" w:rsidRDefault="006B65E3" w:rsidP="00015240">
      <w:pPr>
        <w:pStyle w:val="TOC2"/>
        <w:keepNext/>
        <w:jc w:val="left"/>
        <w:rPr>
          <w:rFonts w:ascii="Times New Roman" w:hAnsi="Times New Roman"/>
          <w:color w:val="auto"/>
          <w:sz w:val="24"/>
          <w:szCs w:val="24"/>
          <w:lang w:val="en-GB"/>
        </w:rPr>
      </w:pPr>
      <w:hyperlink w:anchor="_Toc436916078" w:history="1">
        <w:r w:rsidR="003F789A" w:rsidRPr="00994F11">
          <w:rPr>
            <w:rStyle w:val="Hyperlink"/>
            <w:rFonts w:ascii="Arial Bold" w:hAnsi="Arial Bold"/>
          </w:rPr>
          <w:t>5.3</w:t>
        </w:r>
        <w:r w:rsidR="003F789A">
          <w:rPr>
            <w:rFonts w:ascii="Times New Roman" w:hAnsi="Times New Roman"/>
            <w:color w:val="auto"/>
            <w:sz w:val="24"/>
            <w:szCs w:val="24"/>
            <w:lang w:val="en-GB"/>
          </w:rPr>
          <w:tab/>
        </w:r>
        <w:r w:rsidR="003F789A" w:rsidRPr="00994F11">
          <w:rPr>
            <w:rStyle w:val="Hyperlink"/>
            <w:rFonts w:ascii="Arial Bold" w:hAnsi="Arial Bold"/>
          </w:rPr>
          <w:t>Socio-cultural valuation of ecosystem services – A practical guide based on the use of deliberation</w:t>
        </w:r>
        <w:r w:rsidR="003F789A">
          <w:rPr>
            <w:webHidden/>
          </w:rPr>
          <w:tab/>
        </w:r>
        <w:r w:rsidR="003F789A">
          <w:rPr>
            <w:webHidden/>
          </w:rPr>
          <w:fldChar w:fldCharType="begin"/>
        </w:r>
        <w:r w:rsidR="003F789A">
          <w:rPr>
            <w:webHidden/>
          </w:rPr>
          <w:instrText xml:space="preserve"> PAGEREF _Toc436916078 \h </w:instrText>
        </w:r>
        <w:r w:rsidR="003F789A">
          <w:rPr>
            <w:webHidden/>
          </w:rPr>
        </w:r>
        <w:r w:rsidR="003F789A">
          <w:rPr>
            <w:webHidden/>
          </w:rPr>
          <w:fldChar w:fldCharType="separate"/>
        </w:r>
        <w:r w:rsidR="003F789A">
          <w:rPr>
            <w:webHidden/>
          </w:rPr>
          <w:t>91</w:t>
        </w:r>
        <w:r w:rsidR="003F789A">
          <w:rPr>
            <w:webHidden/>
          </w:rPr>
          <w:fldChar w:fldCharType="end"/>
        </w:r>
      </w:hyperlink>
    </w:p>
    <w:p w:rsidR="003F789A" w:rsidRDefault="006B65E3" w:rsidP="00015240">
      <w:pPr>
        <w:pStyle w:val="TOC3"/>
        <w:keepNext/>
        <w:tabs>
          <w:tab w:val="right" w:leader="dot" w:pos="9016"/>
        </w:tabs>
        <w:jc w:val="left"/>
        <w:rPr>
          <w:rFonts w:ascii="Times New Roman" w:hAnsi="Times New Roman"/>
          <w:noProof/>
          <w:color w:val="auto"/>
          <w:sz w:val="24"/>
          <w:szCs w:val="24"/>
        </w:rPr>
      </w:pPr>
      <w:hyperlink w:anchor="_Toc436916079" w:history="1">
        <w:r w:rsidR="003F789A" w:rsidRPr="00994F11">
          <w:rPr>
            <w:rStyle w:val="Hyperlink"/>
            <w:noProof/>
          </w:rPr>
          <w:t>5.3.1 Conceptual Models for capturing SCV</w:t>
        </w:r>
        <w:r w:rsidR="003F789A">
          <w:rPr>
            <w:noProof/>
            <w:webHidden/>
          </w:rPr>
          <w:tab/>
        </w:r>
        <w:r w:rsidR="003F789A">
          <w:rPr>
            <w:noProof/>
            <w:webHidden/>
          </w:rPr>
          <w:fldChar w:fldCharType="begin"/>
        </w:r>
        <w:r w:rsidR="003F789A">
          <w:rPr>
            <w:noProof/>
            <w:webHidden/>
          </w:rPr>
          <w:instrText xml:space="preserve"> PAGEREF _Toc436916079 \h </w:instrText>
        </w:r>
        <w:r w:rsidR="003F789A">
          <w:rPr>
            <w:noProof/>
            <w:webHidden/>
          </w:rPr>
        </w:r>
        <w:r w:rsidR="003F789A">
          <w:rPr>
            <w:noProof/>
            <w:webHidden/>
          </w:rPr>
          <w:fldChar w:fldCharType="separate"/>
        </w:r>
        <w:r w:rsidR="003F789A">
          <w:rPr>
            <w:noProof/>
            <w:webHidden/>
          </w:rPr>
          <w:t>91</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80" w:history="1">
        <w:r w:rsidR="003F789A" w:rsidRPr="00994F11">
          <w:rPr>
            <w:rStyle w:val="Hyperlink"/>
            <w:noProof/>
          </w:rPr>
          <w:t>5.3.2</w:t>
        </w:r>
        <w:r w:rsidR="003F789A">
          <w:rPr>
            <w:rFonts w:ascii="Times New Roman" w:hAnsi="Times New Roman"/>
            <w:noProof/>
            <w:color w:val="auto"/>
            <w:sz w:val="24"/>
            <w:szCs w:val="24"/>
          </w:rPr>
          <w:tab/>
        </w:r>
        <w:r w:rsidR="003F789A" w:rsidRPr="00994F11">
          <w:rPr>
            <w:rStyle w:val="Hyperlink"/>
            <w:noProof/>
          </w:rPr>
          <w:t>Methods of or Socio-Cultural Valuation</w:t>
        </w:r>
        <w:r w:rsidR="003F789A">
          <w:rPr>
            <w:noProof/>
            <w:webHidden/>
          </w:rPr>
          <w:tab/>
        </w:r>
        <w:r w:rsidR="003F789A">
          <w:rPr>
            <w:noProof/>
            <w:webHidden/>
          </w:rPr>
          <w:fldChar w:fldCharType="begin"/>
        </w:r>
        <w:r w:rsidR="003F789A">
          <w:rPr>
            <w:noProof/>
            <w:webHidden/>
          </w:rPr>
          <w:instrText xml:space="preserve"> PAGEREF _Toc436916080 \h </w:instrText>
        </w:r>
        <w:r w:rsidR="003F789A">
          <w:rPr>
            <w:noProof/>
            <w:webHidden/>
          </w:rPr>
        </w:r>
        <w:r w:rsidR="003F789A">
          <w:rPr>
            <w:noProof/>
            <w:webHidden/>
          </w:rPr>
          <w:fldChar w:fldCharType="separate"/>
        </w:r>
        <w:r w:rsidR="003F789A">
          <w:rPr>
            <w:noProof/>
            <w:webHidden/>
          </w:rPr>
          <w:t>94</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81" w:history="1">
        <w:r w:rsidR="003F789A" w:rsidRPr="00994F11">
          <w:rPr>
            <w:rStyle w:val="Hyperlink"/>
            <w:noProof/>
            <w:lang w:eastAsia="en-IE"/>
          </w:rPr>
          <w:t>5.3.3</w:t>
        </w:r>
        <w:r w:rsidR="003F789A">
          <w:rPr>
            <w:rFonts w:ascii="Times New Roman" w:hAnsi="Times New Roman"/>
            <w:noProof/>
            <w:color w:val="auto"/>
            <w:sz w:val="24"/>
            <w:szCs w:val="24"/>
          </w:rPr>
          <w:tab/>
        </w:r>
        <w:r w:rsidR="003F789A" w:rsidRPr="00994F11">
          <w:rPr>
            <w:rStyle w:val="Hyperlink"/>
            <w:noProof/>
            <w:lang w:eastAsia="en-IE"/>
          </w:rPr>
          <w:t>The Dublin Exemplar</w:t>
        </w:r>
        <w:r w:rsidR="003F789A">
          <w:rPr>
            <w:noProof/>
            <w:webHidden/>
          </w:rPr>
          <w:tab/>
        </w:r>
        <w:r w:rsidR="003F789A">
          <w:rPr>
            <w:noProof/>
            <w:webHidden/>
          </w:rPr>
          <w:fldChar w:fldCharType="begin"/>
        </w:r>
        <w:r w:rsidR="003F789A">
          <w:rPr>
            <w:noProof/>
            <w:webHidden/>
          </w:rPr>
          <w:instrText xml:space="preserve"> PAGEREF _Toc436916081 \h </w:instrText>
        </w:r>
        <w:r w:rsidR="003F789A">
          <w:rPr>
            <w:noProof/>
            <w:webHidden/>
          </w:rPr>
        </w:r>
        <w:r w:rsidR="003F789A">
          <w:rPr>
            <w:noProof/>
            <w:webHidden/>
          </w:rPr>
          <w:fldChar w:fldCharType="separate"/>
        </w:r>
        <w:r w:rsidR="003F789A">
          <w:rPr>
            <w:noProof/>
            <w:webHidden/>
          </w:rPr>
          <w:t>94</w:t>
        </w:r>
        <w:r w:rsidR="003F789A">
          <w:rPr>
            <w:noProof/>
            <w:webHidden/>
          </w:rPr>
          <w:fldChar w:fldCharType="end"/>
        </w:r>
      </w:hyperlink>
    </w:p>
    <w:p w:rsidR="003F789A" w:rsidRDefault="006B65E3" w:rsidP="00015240">
      <w:pPr>
        <w:pStyle w:val="TOC3"/>
        <w:keepNext/>
        <w:tabs>
          <w:tab w:val="left" w:pos="1320"/>
          <w:tab w:val="right" w:leader="dot" w:pos="9016"/>
        </w:tabs>
        <w:jc w:val="left"/>
        <w:rPr>
          <w:rFonts w:ascii="Times New Roman" w:hAnsi="Times New Roman"/>
          <w:noProof/>
          <w:color w:val="auto"/>
          <w:sz w:val="24"/>
          <w:szCs w:val="24"/>
        </w:rPr>
      </w:pPr>
      <w:hyperlink w:anchor="_Toc436916082" w:history="1">
        <w:r w:rsidR="003F789A" w:rsidRPr="00994F11">
          <w:rPr>
            <w:rStyle w:val="Hyperlink"/>
            <w:noProof/>
          </w:rPr>
          <w:t>5.3.4</w:t>
        </w:r>
        <w:r w:rsidR="003F789A">
          <w:rPr>
            <w:rFonts w:ascii="Times New Roman" w:hAnsi="Times New Roman"/>
            <w:noProof/>
            <w:color w:val="auto"/>
            <w:sz w:val="24"/>
            <w:szCs w:val="24"/>
          </w:rPr>
          <w:tab/>
        </w:r>
        <w:r w:rsidR="003F789A" w:rsidRPr="00994F11">
          <w:rPr>
            <w:rStyle w:val="Hyperlink"/>
            <w:bCs/>
            <w:noProof/>
          </w:rPr>
          <w:t>Discussion – Learning from SCV and key findings about the process</w:t>
        </w:r>
        <w:r w:rsidR="003F789A">
          <w:rPr>
            <w:noProof/>
            <w:webHidden/>
          </w:rPr>
          <w:tab/>
        </w:r>
        <w:r w:rsidR="003F789A">
          <w:rPr>
            <w:noProof/>
            <w:webHidden/>
          </w:rPr>
          <w:fldChar w:fldCharType="begin"/>
        </w:r>
        <w:r w:rsidR="003F789A">
          <w:rPr>
            <w:noProof/>
            <w:webHidden/>
          </w:rPr>
          <w:instrText xml:space="preserve"> PAGEREF _Toc436916082 \h </w:instrText>
        </w:r>
        <w:r w:rsidR="003F789A">
          <w:rPr>
            <w:noProof/>
            <w:webHidden/>
          </w:rPr>
        </w:r>
        <w:r w:rsidR="003F789A">
          <w:rPr>
            <w:noProof/>
            <w:webHidden/>
          </w:rPr>
          <w:fldChar w:fldCharType="separate"/>
        </w:r>
        <w:r w:rsidR="003F789A">
          <w:rPr>
            <w:noProof/>
            <w:webHidden/>
          </w:rPr>
          <w:t>105</w:t>
        </w:r>
        <w:r w:rsidR="003F789A">
          <w:rPr>
            <w:noProof/>
            <w:webHidden/>
          </w:rPr>
          <w:fldChar w:fldCharType="end"/>
        </w:r>
      </w:hyperlink>
    </w:p>
    <w:p w:rsidR="003F789A" w:rsidRDefault="003F789A" w:rsidP="00015240">
      <w:pPr>
        <w:pStyle w:val="TOC1"/>
        <w:keepNext/>
        <w:tabs>
          <w:tab w:val="left" w:pos="440"/>
          <w:tab w:val="right" w:leader="dot" w:pos="9016"/>
        </w:tabs>
        <w:jc w:val="left"/>
        <w:rPr>
          <w:rStyle w:val="Hyperlink"/>
          <w:noProof/>
        </w:rPr>
      </w:pPr>
    </w:p>
    <w:p w:rsidR="003F789A" w:rsidRDefault="006B65E3" w:rsidP="00015240">
      <w:pPr>
        <w:pStyle w:val="TOC1"/>
        <w:keepNext/>
        <w:tabs>
          <w:tab w:val="left" w:pos="440"/>
          <w:tab w:val="right" w:leader="dot" w:pos="9016"/>
        </w:tabs>
        <w:jc w:val="left"/>
        <w:rPr>
          <w:rFonts w:ascii="Times New Roman" w:hAnsi="Times New Roman"/>
          <w:noProof/>
          <w:color w:val="auto"/>
          <w:sz w:val="24"/>
          <w:szCs w:val="24"/>
        </w:rPr>
      </w:pPr>
      <w:hyperlink w:anchor="_Toc436916083" w:history="1">
        <w:r w:rsidR="003F789A" w:rsidRPr="00015240">
          <w:rPr>
            <w:rStyle w:val="Hyperlink"/>
            <w:b/>
            <w:noProof/>
          </w:rPr>
          <w:t>6</w:t>
        </w:r>
        <w:r w:rsidR="003F789A" w:rsidRPr="00015240">
          <w:rPr>
            <w:rFonts w:ascii="Times New Roman" w:hAnsi="Times New Roman"/>
            <w:b/>
            <w:noProof/>
            <w:color w:val="auto"/>
            <w:sz w:val="24"/>
            <w:szCs w:val="24"/>
          </w:rPr>
          <w:tab/>
        </w:r>
        <w:r w:rsidR="003F789A" w:rsidRPr="00015240">
          <w:rPr>
            <w:rStyle w:val="Hyperlink"/>
            <w:b/>
            <w:noProof/>
          </w:rPr>
          <w:t>Summary discussion</w:t>
        </w:r>
        <w:r w:rsidR="003F789A">
          <w:rPr>
            <w:noProof/>
            <w:webHidden/>
          </w:rPr>
          <w:tab/>
        </w:r>
        <w:r w:rsidR="003F789A">
          <w:rPr>
            <w:noProof/>
            <w:webHidden/>
          </w:rPr>
          <w:fldChar w:fldCharType="begin"/>
        </w:r>
        <w:r w:rsidR="003F789A">
          <w:rPr>
            <w:noProof/>
            <w:webHidden/>
          </w:rPr>
          <w:instrText xml:space="preserve"> PAGEREF _Toc436916083 \h </w:instrText>
        </w:r>
        <w:r w:rsidR="003F789A">
          <w:rPr>
            <w:noProof/>
            <w:webHidden/>
          </w:rPr>
        </w:r>
        <w:r w:rsidR="003F789A">
          <w:rPr>
            <w:noProof/>
            <w:webHidden/>
          </w:rPr>
          <w:fldChar w:fldCharType="separate"/>
        </w:r>
        <w:r w:rsidR="003F789A">
          <w:rPr>
            <w:noProof/>
            <w:webHidden/>
          </w:rPr>
          <w:t>111</w:t>
        </w:r>
        <w:r w:rsidR="003F789A">
          <w:rPr>
            <w:noProof/>
            <w:webHidden/>
          </w:rPr>
          <w:fldChar w:fldCharType="end"/>
        </w:r>
      </w:hyperlink>
    </w:p>
    <w:p w:rsidR="003F789A" w:rsidRDefault="003F789A" w:rsidP="00015240">
      <w:pPr>
        <w:keepNext/>
        <w:jc w:val="left"/>
      </w:pPr>
      <w:r>
        <w:fldChar w:fldCharType="end"/>
      </w:r>
    </w:p>
    <w:p w:rsidR="003F789A" w:rsidRDefault="003F789A"/>
    <w:p w:rsidR="003F789A" w:rsidRDefault="003F789A" w:rsidP="0032165B">
      <w:pPr>
        <w:numPr>
          <w:ilvl w:val="0"/>
          <w:numId w:val="31"/>
        </w:numPr>
        <w:suppressAutoHyphens w:val="0"/>
        <w:sectPr w:rsidR="003F789A" w:rsidSect="00B86FA3">
          <w:footerReference w:type="default" r:id="rId19"/>
          <w:pgSz w:w="11906" w:h="16838" w:code="9"/>
          <w:pgMar w:top="1440" w:right="1440" w:bottom="1985" w:left="1440" w:header="708" w:footer="708" w:gutter="0"/>
          <w:pgNumType w:fmt="lowerRoman" w:start="1"/>
          <w:cols w:space="708"/>
          <w:docGrid w:linePitch="360"/>
        </w:sectPr>
      </w:pPr>
    </w:p>
    <w:p w:rsidR="003F789A" w:rsidRDefault="003F789A" w:rsidP="0032165B">
      <w:pPr>
        <w:numPr>
          <w:ilvl w:val="0"/>
          <w:numId w:val="31"/>
        </w:numPr>
        <w:suppressAutoHyphens w:val="0"/>
        <w:rPr>
          <w:rStyle w:val="Heading1Char"/>
        </w:rPr>
      </w:pPr>
      <w:bookmarkStart w:id="1" w:name="_Toc436757130"/>
      <w:bookmarkStart w:id="2" w:name="_Toc436758069"/>
      <w:bookmarkStart w:id="3" w:name="_Toc436915593"/>
      <w:bookmarkStart w:id="4" w:name="_Toc436916034"/>
      <w:r>
        <w:rPr>
          <w:rStyle w:val="Heading1Char"/>
        </w:rPr>
        <w:lastRenderedPageBreak/>
        <w:t>Introduction</w:t>
      </w:r>
      <w:bookmarkEnd w:id="1"/>
      <w:bookmarkEnd w:id="2"/>
      <w:bookmarkEnd w:id="3"/>
      <w:bookmarkEnd w:id="4"/>
    </w:p>
    <w:p w:rsidR="003F789A" w:rsidRDefault="003F789A" w:rsidP="008376E8">
      <w:pPr>
        <w:suppressAutoHyphens w:val="0"/>
        <w:ind w:left="930"/>
        <w:rPr>
          <w:rStyle w:val="Heading1Char"/>
        </w:rPr>
      </w:pPr>
    </w:p>
    <w:p w:rsidR="003F789A" w:rsidRDefault="003F789A" w:rsidP="001A1CD7">
      <w:pPr>
        <w:keepNext/>
        <w:widowControl w:val="0"/>
        <w:ind w:left="360"/>
        <w:rPr>
          <w:rFonts w:cs="Arial"/>
          <w:sz w:val="20"/>
        </w:rPr>
      </w:pPr>
      <w:r>
        <w:rPr>
          <w:rFonts w:cs="Arial"/>
          <w:sz w:val="20"/>
        </w:rPr>
        <w:t xml:space="preserve">In this deliverable report we first describe the nature of social or socio-cultural values and then introduce some of the methods that are being used to understand or elicit these values. The range of socio-cultural valuation methods described here is not comprehensive. A range of methods are available, some of which are multi-dimensional or analytical and others of which are more deliberative. The origins of these methods vary from an interest in the more instrumental approaches as used in economics to explain the basis of preferences and decision making, to methods from psychology or anthropology that have been developed with a primary intension of explaining the fundamental basis of values and choices. The selection of methods depends on the context and specific circumstances as well as the objective of any study, including whether or not the study is intended to inform decision or policy making. In the OPERAs project, the overall objective is one of devising methods that can </w:t>
      </w:r>
      <w:proofErr w:type="spellStart"/>
      <w:r>
        <w:rPr>
          <w:rFonts w:cs="Arial"/>
          <w:sz w:val="20"/>
        </w:rPr>
        <w:t>operationallse</w:t>
      </w:r>
      <w:proofErr w:type="spellEnd"/>
      <w:r>
        <w:rPr>
          <w:rFonts w:cs="Arial"/>
          <w:sz w:val="20"/>
        </w:rPr>
        <w:t xml:space="preserve"> the ecosystem services concept at a practical level. The ecosystem services concept is, itself, an anthropocentric one in terms of the perspective it takes on the relationship between nature and people. However, while all societies recognise the benefits that the natural environment provides, the nature of this relationship and the nation of “services” can vary considerably. </w:t>
      </w:r>
    </w:p>
    <w:p w:rsidR="003F789A" w:rsidRDefault="003F789A" w:rsidP="001A1CD7">
      <w:pPr>
        <w:keepNext/>
        <w:widowControl w:val="0"/>
        <w:ind w:left="360"/>
        <w:rPr>
          <w:rFonts w:cs="Arial"/>
          <w:sz w:val="20"/>
        </w:rPr>
      </w:pPr>
    </w:p>
    <w:p w:rsidR="003F789A" w:rsidRPr="00D14B4E" w:rsidRDefault="003F789A" w:rsidP="00CA6638">
      <w:pPr>
        <w:keepNext/>
        <w:widowControl w:val="0"/>
        <w:ind w:left="360"/>
        <w:rPr>
          <w:rFonts w:cs="Arial"/>
          <w:sz w:val="20"/>
        </w:rPr>
      </w:pPr>
      <w:r>
        <w:rPr>
          <w:rFonts w:cs="Arial"/>
          <w:sz w:val="20"/>
        </w:rPr>
        <w:t xml:space="preserve">The deliverable is based on papers that have been submitted for publication or which are in preparation. There are additional papers and conference proceedings that have already been published as outputs of the project including, for example, Scholte et al. </w:t>
      </w:r>
      <w:r>
        <w:rPr>
          <w:rFonts w:cs="Arial"/>
          <w:i/>
          <w:sz w:val="20"/>
        </w:rPr>
        <w:t xml:space="preserve">On </w:t>
      </w:r>
      <w:r w:rsidRPr="003A0611">
        <w:rPr>
          <w:rFonts w:cs="Arial"/>
          <w:i/>
          <w:sz w:val="20"/>
        </w:rPr>
        <w:t>Integrating socio-cultural perspectives into ecosystem service valuation: a review of concepts and methodologies</w:t>
      </w:r>
      <w:r>
        <w:rPr>
          <w:rFonts w:cs="Arial"/>
          <w:sz w:val="20"/>
        </w:rPr>
        <w:t xml:space="preserve"> (E</w:t>
      </w:r>
      <w:r w:rsidRPr="008204E5">
        <w:rPr>
          <w:rFonts w:cs="Arial"/>
          <w:sz w:val="20"/>
        </w:rPr>
        <w:t>cological Economics</w:t>
      </w:r>
      <w:r>
        <w:rPr>
          <w:rFonts w:cs="Arial"/>
          <w:sz w:val="20"/>
        </w:rPr>
        <w:t xml:space="preserve">, 2014). In addition, various exemplars within the OPERAs project have included socio-cultural valuation to varying degrees. Most especially this has included the on-going Firth-of-Forth exemplar which is using both deliberation and choice experiments. </w:t>
      </w:r>
    </w:p>
    <w:p w:rsidR="003F789A" w:rsidRPr="00D14B4E" w:rsidRDefault="003F789A" w:rsidP="001A1CD7">
      <w:pPr>
        <w:ind w:left="360"/>
        <w:rPr>
          <w:rFonts w:cs="Arial"/>
          <w:sz w:val="20"/>
        </w:rPr>
      </w:pPr>
    </w:p>
    <w:p w:rsidR="003F789A" w:rsidRDefault="003F789A" w:rsidP="001A1CD7">
      <w:pPr>
        <w:ind w:left="360"/>
        <w:rPr>
          <w:rFonts w:cs="Arial"/>
          <w:sz w:val="20"/>
        </w:rPr>
      </w:pPr>
      <w:r>
        <w:rPr>
          <w:rFonts w:cs="Arial"/>
          <w:sz w:val="20"/>
        </w:rPr>
        <w:t xml:space="preserve">In </w:t>
      </w:r>
      <w:r w:rsidRPr="001B2B7A">
        <w:rPr>
          <w:rFonts w:cs="Arial"/>
          <w:i/>
          <w:sz w:val="20"/>
        </w:rPr>
        <w:t>Chapter 2</w:t>
      </w:r>
      <w:r>
        <w:rPr>
          <w:rFonts w:cs="Arial"/>
          <w:sz w:val="20"/>
        </w:rPr>
        <w:t xml:space="preserve"> we first commence with an introduction and discussion of the nature of socio-cultural values and socio-cultural valuation. </w:t>
      </w:r>
    </w:p>
    <w:p w:rsidR="003F789A" w:rsidRDefault="003F789A" w:rsidP="001A1CD7">
      <w:pPr>
        <w:ind w:left="360"/>
        <w:rPr>
          <w:rFonts w:cs="Arial"/>
          <w:sz w:val="20"/>
        </w:rPr>
      </w:pPr>
    </w:p>
    <w:p w:rsidR="003F789A" w:rsidRPr="00D14B4E" w:rsidRDefault="003F789A" w:rsidP="001A1CD7">
      <w:pPr>
        <w:ind w:left="360"/>
        <w:rPr>
          <w:rFonts w:cs="Arial"/>
          <w:sz w:val="20"/>
        </w:rPr>
      </w:pPr>
      <w:r w:rsidRPr="00D14B4E">
        <w:rPr>
          <w:rFonts w:cs="Arial"/>
          <w:sz w:val="20"/>
        </w:rPr>
        <w:t xml:space="preserve">In </w:t>
      </w:r>
      <w:r w:rsidRPr="00D14B4E">
        <w:rPr>
          <w:rFonts w:cs="Arial"/>
          <w:i/>
          <w:sz w:val="20"/>
        </w:rPr>
        <w:t>Chapter 3</w:t>
      </w:r>
      <w:r w:rsidRPr="00D14B4E">
        <w:rPr>
          <w:rFonts w:cs="Arial"/>
          <w:sz w:val="20"/>
        </w:rPr>
        <w:t xml:space="preserve"> we illustrate a multidimensional approach to socio-cultural valuation based on two of the three OPERAs exemplars in Scotland. In the</w:t>
      </w:r>
      <w:r>
        <w:rPr>
          <w:rFonts w:cs="Arial"/>
          <w:sz w:val="20"/>
        </w:rPr>
        <w:t xml:space="preserve"> first of these</w:t>
      </w:r>
      <w:r w:rsidRPr="00D14B4E">
        <w:rPr>
          <w:rFonts w:cs="Arial"/>
          <w:sz w:val="20"/>
        </w:rPr>
        <w:t xml:space="preserve">, Samantha Scholte and colleagues </w:t>
      </w:r>
      <w:r>
        <w:rPr>
          <w:rFonts w:cs="Arial"/>
          <w:sz w:val="20"/>
        </w:rPr>
        <w:t xml:space="preserve">from IVM Amsterdam </w:t>
      </w:r>
      <w:r w:rsidRPr="00D14B4E">
        <w:rPr>
          <w:rFonts w:cs="Arial"/>
          <w:sz w:val="20"/>
        </w:rPr>
        <w:t>explor</w:t>
      </w:r>
      <w:r>
        <w:rPr>
          <w:rFonts w:cs="Arial"/>
          <w:sz w:val="20"/>
        </w:rPr>
        <w:t>e</w:t>
      </w:r>
      <w:r w:rsidRPr="00D14B4E">
        <w:rPr>
          <w:rFonts w:cs="Arial"/>
          <w:sz w:val="20"/>
        </w:rPr>
        <w:t xml:space="preserve"> </w:t>
      </w:r>
      <w:r>
        <w:rPr>
          <w:rFonts w:cs="Arial"/>
          <w:sz w:val="20"/>
        </w:rPr>
        <w:t xml:space="preserve">the influence of </w:t>
      </w:r>
      <w:r w:rsidRPr="00D14B4E">
        <w:rPr>
          <w:rFonts w:cs="Arial"/>
          <w:sz w:val="20"/>
        </w:rPr>
        <w:t xml:space="preserve">socio-cultural values </w:t>
      </w:r>
      <w:r>
        <w:rPr>
          <w:rFonts w:cs="Arial"/>
          <w:sz w:val="20"/>
        </w:rPr>
        <w:t xml:space="preserve">in </w:t>
      </w:r>
      <w:r w:rsidRPr="00D14B4E">
        <w:rPr>
          <w:rFonts w:cs="Arial"/>
          <w:sz w:val="20"/>
        </w:rPr>
        <w:t xml:space="preserve">the question of whether new environmental goods can compensate for new residential development in the urban fringe, in the process. </w:t>
      </w:r>
      <w:r>
        <w:rPr>
          <w:rFonts w:cs="Arial"/>
          <w:sz w:val="20"/>
        </w:rPr>
        <w:t xml:space="preserve">A survey-based approach is applied including non-monetary choice experiment.  </w:t>
      </w:r>
      <w:r w:rsidRPr="00D14B4E">
        <w:rPr>
          <w:rFonts w:cs="Arial"/>
          <w:sz w:val="20"/>
        </w:rPr>
        <w:t xml:space="preserve">In </w:t>
      </w:r>
      <w:r>
        <w:rPr>
          <w:rFonts w:cs="Arial"/>
          <w:sz w:val="20"/>
        </w:rPr>
        <w:t xml:space="preserve">the </w:t>
      </w:r>
      <w:r w:rsidRPr="00D14B4E">
        <w:rPr>
          <w:rFonts w:cs="Arial"/>
          <w:sz w:val="20"/>
        </w:rPr>
        <w:t xml:space="preserve">second paper, </w:t>
      </w:r>
      <w:proofErr w:type="spellStart"/>
      <w:r w:rsidRPr="00D14B4E">
        <w:rPr>
          <w:rFonts w:cs="Arial"/>
          <w:sz w:val="20"/>
        </w:rPr>
        <w:t>Katja</w:t>
      </w:r>
      <w:proofErr w:type="spellEnd"/>
      <w:r w:rsidRPr="00D14B4E">
        <w:rPr>
          <w:rFonts w:cs="Arial"/>
          <w:sz w:val="20"/>
        </w:rPr>
        <w:t xml:space="preserve"> Schmidt and colleagues from the University of Potsdam (UP) </w:t>
      </w:r>
      <w:r>
        <w:rPr>
          <w:rFonts w:cs="Arial"/>
          <w:sz w:val="20"/>
        </w:rPr>
        <w:t xml:space="preserve">use </w:t>
      </w:r>
      <w:r w:rsidRPr="00D14B4E">
        <w:rPr>
          <w:rFonts w:cs="Arial"/>
          <w:sz w:val="20"/>
        </w:rPr>
        <w:t xml:space="preserve">weighting and rating indices along with trade-off methods to examine landscape management preferences in an upland amenity area. Cluster analysis has is used to examine different preferences based on visitor and landscape characteristics. An objective has been to identify the role of ES in the rating exercise and the trade-offs. </w:t>
      </w:r>
    </w:p>
    <w:p w:rsidR="003F789A" w:rsidRPr="00D14B4E" w:rsidRDefault="003F789A" w:rsidP="001A1CD7">
      <w:pPr>
        <w:ind w:left="360"/>
        <w:rPr>
          <w:rFonts w:cs="Arial"/>
          <w:sz w:val="20"/>
        </w:rPr>
      </w:pPr>
    </w:p>
    <w:p w:rsidR="003F789A" w:rsidRPr="00D14B4E" w:rsidRDefault="003F789A" w:rsidP="001A1CD7">
      <w:pPr>
        <w:ind w:left="360"/>
        <w:rPr>
          <w:rFonts w:cs="Arial"/>
          <w:sz w:val="20"/>
        </w:rPr>
      </w:pPr>
      <w:r w:rsidRPr="00D14B4E">
        <w:rPr>
          <w:rFonts w:cs="Arial"/>
          <w:sz w:val="20"/>
        </w:rPr>
        <w:t xml:space="preserve">In </w:t>
      </w:r>
      <w:r w:rsidRPr="00D14B4E">
        <w:rPr>
          <w:rFonts w:cs="Arial"/>
          <w:i/>
          <w:sz w:val="20"/>
        </w:rPr>
        <w:t>Chapter 4</w:t>
      </w:r>
      <w:r>
        <w:rPr>
          <w:rFonts w:cs="Arial"/>
          <w:i/>
          <w:sz w:val="20"/>
        </w:rPr>
        <w:t xml:space="preserve">, </w:t>
      </w:r>
      <w:r w:rsidRPr="002A7FF8">
        <w:rPr>
          <w:rFonts w:cs="Arial"/>
          <w:sz w:val="20"/>
        </w:rPr>
        <w:t xml:space="preserve">Boris </w:t>
      </w:r>
      <w:proofErr w:type="spellStart"/>
      <w:r w:rsidRPr="002A7FF8">
        <w:rPr>
          <w:rFonts w:cs="Arial"/>
          <w:sz w:val="20"/>
        </w:rPr>
        <w:t>Zanten</w:t>
      </w:r>
      <w:proofErr w:type="spellEnd"/>
      <w:r w:rsidRPr="002A7FF8">
        <w:rPr>
          <w:rFonts w:cs="Arial"/>
          <w:sz w:val="20"/>
        </w:rPr>
        <w:t xml:space="preserve"> and colleagues from IVM Amsterdam</w:t>
      </w:r>
      <w:r w:rsidRPr="00D14B4E">
        <w:rPr>
          <w:rFonts w:cs="Arial"/>
          <w:sz w:val="20"/>
        </w:rPr>
        <w:t xml:space="preserve"> discuss spatial approaches to SCV and the role of participatory mapping. </w:t>
      </w:r>
      <w:r>
        <w:rPr>
          <w:rFonts w:cs="Arial"/>
          <w:sz w:val="20"/>
        </w:rPr>
        <w:t xml:space="preserve">They elicit </w:t>
      </w:r>
      <w:r w:rsidRPr="00D14B4E">
        <w:rPr>
          <w:rFonts w:cs="Arial"/>
          <w:sz w:val="20"/>
        </w:rPr>
        <w:t xml:space="preserve">both cultural values and social-ecological associations with landscapes with the assistance of photographs. The study builds on previous </w:t>
      </w:r>
      <w:r w:rsidRPr="00D14B4E">
        <w:rPr>
          <w:rFonts w:cs="Arial"/>
          <w:sz w:val="20"/>
        </w:rPr>
        <w:lastRenderedPageBreak/>
        <w:t xml:space="preserve">work by van </w:t>
      </w:r>
      <w:proofErr w:type="spellStart"/>
      <w:r w:rsidRPr="00D14B4E">
        <w:rPr>
          <w:rFonts w:cs="Arial"/>
          <w:sz w:val="20"/>
        </w:rPr>
        <w:t>Berkel</w:t>
      </w:r>
      <w:proofErr w:type="spellEnd"/>
      <w:r w:rsidRPr="00D14B4E">
        <w:rPr>
          <w:rFonts w:cs="Arial"/>
          <w:sz w:val="20"/>
        </w:rPr>
        <w:t xml:space="preserve"> and </w:t>
      </w:r>
      <w:proofErr w:type="spellStart"/>
      <w:r w:rsidRPr="00D14B4E">
        <w:rPr>
          <w:rFonts w:cs="Arial"/>
          <w:sz w:val="20"/>
        </w:rPr>
        <w:t>Verburg</w:t>
      </w:r>
      <w:proofErr w:type="spellEnd"/>
      <w:r w:rsidRPr="00D14B4E">
        <w:rPr>
          <w:rFonts w:cs="Arial"/>
          <w:sz w:val="20"/>
        </w:rPr>
        <w:t xml:space="preserve"> </w:t>
      </w:r>
      <w:r w:rsidRPr="00D14B4E">
        <w:rPr>
          <w:rFonts w:cs="Arial"/>
          <w:sz w:val="20"/>
        </w:rPr>
        <w:fldChar w:fldCharType="begin"/>
      </w:r>
      <w:r w:rsidRPr="00D14B4E">
        <w:rPr>
          <w:rFonts w:cs="Arial"/>
          <w:sz w:val="20"/>
        </w:rPr>
        <w:instrText xml:space="preserve"> ADDIN EN.CITE &lt;EndNote&gt;&lt;Cite ExcludeAuth="1"&gt;&lt;Author&gt;van Berkel&lt;/Author&gt;&lt;Year&gt;2013&lt;/Year&gt;&lt;RecNum&gt;32&lt;/RecNum&gt;&lt;record&gt;&lt;rec-number&gt;32&lt;/rec-number&gt;&lt;foreign-keys&gt;&lt;key app="EN" db-id="x2atpse2dv5zz4ezef45ssa2vzstpedpzt2p"&gt;32&lt;/key&gt;&lt;/foreign-keys&gt;&lt;ref-type name="Journal Article"&gt;17&lt;/ref-type&gt;&lt;contributors&gt;&lt;authors&gt;&lt;author&gt;van Berkel, Derek B&lt;/author&gt;&lt;author&gt;Verburg, Peter H&lt;/author&gt;&lt;/authors&gt;&lt;/contributors&gt;&lt;titles&gt;&lt;title&gt;Spatial quantification and valaution of cultural ecosystem services in an agricultural landscape &lt;/title&gt;&lt;secondary-title&gt;Ecological Indicators&lt;/secondary-title&gt;&lt;/titles&gt;&lt;periodical&gt;&lt;full-title&gt;Ecological Indicators&lt;/full-title&gt;&lt;/periodical&gt;&lt;dates&gt;&lt;year&gt;2013&lt;/year&gt;&lt;/dates&gt;&lt;urls&gt;&lt;/urls&gt;&lt;research-notes&gt;&lt;style face="normal" font="Times New Roman" size="11"&gt;Paper uses a combination of photos, maps, PCA and econ valuation to establish value of agricultural landscapes of cultural value in eastern Nth. &amp;#xD;&amp;#xD;Usual methods argued to leave out intrinsic qualities and rather focus on attractions. No such studies say authors. &amp;#xD;&amp;#xD;Maps used to identify landscape hot-spots of cultural service provision.&amp;#xD;Two maps distinguish between individual landscape features, and landscape structure and composition. Refs for participatory mapping (Brown &amp;amp; Raymond, and Dramstad et al.&amp;#xD;Fuzzy membership calculation to fit each layer to the props of these landscape structures.&amp;#xD;&amp;#xD;Respondents rated aspects of the landscape on Likert scale. The applied PCA. Can identify groups whose preferences overlap.&amp;#xD;&amp;#xD;Local inhabitants associated more with spiritual and inspirational aspects of the landscape than did tourists. Other groups rated aesthetic highly. Third group for recreation opportunity (find agri landscape less appealing).&amp;#xD;&amp;#xD;But only a weak link between value of intrinsic qualities and types of landscape features.&amp;#xD;&amp;#xD;Admits assessment of landscape values does not consider rural dynamics (Wilson, 2010 and Van Berkel et al 2011).&amp;#xD;&lt;/style&gt;&lt;/research-notes&gt;&lt;/record&gt;&lt;/Cite&gt;&lt;/EndNote&gt;</w:instrText>
      </w:r>
      <w:r w:rsidRPr="00D14B4E">
        <w:rPr>
          <w:rFonts w:cs="Arial"/>
          <w:sz w:val="20"/>
        </w:rPr>
        <w:fldChar w:fldCharType="separate"/>
      </w:r>
      <w:r w:rsidRPr="00D14B4E">
        <w:rPr>
          <w:rFonts w:cs="Arial"/>
          <w:sz w:val="20"/>
        </w:rPr>
        <w:t>(2013)</w:t>
      </w:r>
      <w:r w:rsidRPr="00D14B4E">
        <w:rPr>
          <w:rFonts w:cs="Arial"/>
          <w:sz w:val="20"/>
        </w:rPr>
        <w:fldChar w:fldCharType="end"/>
      </w:r>
      <w:r w:rsidRPr="00D14B4E">
        <w:rPr>
          <w:rFonts w:cs="Arial"/>
          <w:sz w:val="20"/>
        </w:rPr>
        <w:t xml:space="preserve">, but includes attitudes towards functional ecosystem service attributes along with more conventional visual attribute preference mapping. Using the cumulative selections from a choice modelling exercise in which landscape attributes are represented within a core set of landscape views, preference values are extended to a larger area to identify the values attached to spatial variation in landscapes. </w:t>
      </w:r>
    </w:p>
    <w:p w:rsidR="003F789A" w:rsidRPr="00D14B4E" w:rsidRDefault="003F789A" w:rsidP="001A1CD7">
      <w:pPr>
        <w:ind w:left="360"/>
        <w:rPr>
          <w:rFonts w:cs="Arial"/>
          <w:sz w:val="20"/>
        </w:rPr>
      </w:pPr>
    </w:p>
    <w:p w:rsidR="003F789A" w:rsidRPr="00D14B4E" w:rsidRDefault="003F789A" w:rsidP="001A1CD7">
      <w:pPr>
        <w:ind w:left="360"/>
        <w:rPr>
          <w:rFonts w:cs="Arial"/>
          <w:sz w:val="20"/>
        </w:rPr>
      </w:pPr>
      <w:r w:rsidRPr="00D14B4E">
        <w:rPr>
          <w:rFonts w:cs="Arial"/>
          <w:i/>
          <w:sz w:val="20"/>
        </w:rPr>
        <w:t>In Chapter 5</w:t>
      </w:r>
      <w:r w:rsidRPr="00D14B4E">
        <w:rPr>
          <w:rFonts w:cs="Arial"/>
          <w:sz w:val="20"/>
        </w:rPr>
        <w:t xml:space="preserve">, we look at two applications of SCV. On this occasion, Samantha Scholte and colleagues from IVM and the World Wildlife Fund in Bulgaria discuss the role of socio-cultural values in perceptions of ES that could be impacted by wetland restoration along the OPERAs Bulgarian exemplar on the River Danube. The paper distinguishes between levels of awareness and the principal benefits in terms of well-being as this is perceived by fishermen, farmers and local residents. The study identifies the linkages that were found between awareness and benefits as these relate to regulating, provisioning and cultural ecosystem services. </w:t>
      </w:r>
      <w:r>
        <w:rPr>
          <w:rFonts w:cs="Arial"/>
          <w:sz w:val="20"/>
        </w:rPr>
        <w:t>P</w:t>
      </w:r>
      <w:r w:rsidRPr="00D14B4E">
        <w:rPr>
          <w:rFonts w:cs="Arial"/>
          <w:sz w:val="20"/>
        </w:rPr>
        <w:t xml:space="preserve">rincipal components analysis </w:t>
      </w:r>
      <w:r>
        <w:rPr>
          <w:rFonts w:cs="Arial"/>
          <w:sz w:val="20"/>
        </w:rPr>
        <w:t xml:space="preserve">is applied </w:t>
      </w:r>
      <w:r w:rsidRPr="00D14B4E">
        <w:rPr>
          <w:rFonts w:cs="Arial"/>
          <w:sz w:val="20"/>
        </w:rPr>
        <w:t>to interview data to identify the values of the different groups of people and their perceptions of the different environments found in the wetland</w:t>
      </w:r>
      <w:r>
        <w:rPr>
          <w:rFonts w:cs="Arial"/>
          <w:sz w:val="20"/>
        </w:rPr>
        <w:t xml:space="preserve"> with a view to indicating how stakeholders can best be </w:t>
      </w:r>
      <w:r w:rsidRPr="00D14B4E">
        <w:rPr>
          <w:rFonts w:cs="Arial"/>
          <w:sz w:val="20"/>
        </w:rPr>
        <w:t xml:space="preserve">encouraged to engage in the restoration or be incentivised.   </w:t>
      </w:r>
    </w:p>
    <w:p w:rsidR="003F789A" w:rsidRPr="00D14B4E" w:rsidRDefault="003F789A" w:rsidP="001A1CD7">
      <w:pPr>
        <w:ind w:left="360"/>
        <w:rPr>
          <w:rFonts w:cs="Arial"/>
          <w:sz w:val="20"/>
        </w:rPr>
      </w:pPr>
    </w:p>
    <w:p w:rsidR="003F789A" w:rsidRPr="00D14B4E" w:rsidRDefault="003F789A" w:rsidP="001A1CD7">
      <w:pPr>
        <w:ind w:left="360"/>
        <w:rPr>
          <w:rFonts w:cs="Arial"/>
          <w:sz w:val="20"/>
        </w:rPr>
      </w:pPr>
      <w:r w:rsidRPr="00D14B4E">
        <w:rPr>
          <w:rFonts w:cs="Arial"/>
          <w:sz w:val="20"/>
        </w:rPr>
        <w:t>In a second paper</w:t>
      </w:r>
      <w:r>
        <w:rPr>
          <w:rFonts w:cs="Arial"/>
          <w:sz w:val="20"/>
        </w:rPr>
        <w:t xml:space="preserve"> in this chapter</w:t>
      </w:r>
      <w:r w:rsidRPr="00D14B4E">
        <w:rPr>
          <w:rFonts w:cs="Arial"/>
          <w:sz w:val="20"/>
        </w:rPr>
        <w:t xml:space="preserve">, Deirdre Joyce of University College Dublin (UCD) applies a rather different approach to the preceding papers by exploring the contribution of deliberative methods to public engagement with ES in a coastal area north of Dublin which comprises the OPERAs Dublin exemplar. She introduces the merits or alternative approaches to socio-cultural valuation, the relationship with ecosystem services and the potential that such approaches have to inform local planning policy and governance.  </w:t>
      </w:r>
    </w:p>
    <w:p w:rsidR="003F789A" w:rsidRPr="00D14B4E" w:rsidRDefault="003F789A" w:rsidP="001A1CD7">
      <w:pPr>
        <w:ind w:left="360"/>
        <w:rPr>
          <w:rFonts w:cs="Arial"/>
          <w:sz w:val="20"/>
        </w:rPr>
      </w:pPr>
    </w:p>
    <w:p w:rsidR="003F789A" w:rsidRDefault="003F789A" w:rsidP="001A1CD7">
      <w:pPr>
        <w:ind w:left="360"/>
        <w:rPr>
          <w:rFonts w:cs="Arial"/>
          <w:sz w:val="20"/>
        </w:rPr>
      </w:pPr>
      <w:r w:rsidRPr="00D14B4E">
        <w:rPr>
          <w:rFonts w:cs="Arial"/>
          <w:sz w:val="20"/>
        </w:rPr>
        <w:t xml:space="preserve">Finally, in </w:t>
      </w:r>
      <w:r w:rsidRPr="00D14B4E">
        <w:rPr>
          <w:rFonts w:cs="Arial"/>
          <w:i/>
          <w:sz w:val="20"/>
        </w:rPr>
        <w:t>Chapter 6</w:t>
      </w:r>
      <w:r w:rsidRPr="00D14B4E">
        <w:rPr>
          <w:rFonts w:cs="Arial"/>
          <w:sz w:val="20"/>
        </w:rPr>
        <w:t xml:space="preserve"> we bring the insights from these chapters together to discuss the respective contribution of visual, spatial and mapping methods, and of multi-dimensional valuation approaches. Only by identifying and addressing the needs and values of different stakeholders can we aspire to effective and sustainable approaches to environmental and ecosystem management.</w:t>
      </w:r>
    </w:p>
    <w:p w:rsidR="003F789A" w:rsidRPr="00D14B4E" w:rsidRDefault="003F789A" w:rsidP="001A1CD7">
      <w:pPr>
        <w:ind w:left="360"/>
        <w:rPr>
          <w:rFonts w:cs="Arial"/>
          <w:sz w:val="20"/>
        </w:rPr>
      </w:pPr>
      <w:r w:rsidRPr="00D14B4E">
        <w:rPr>
          <w:rFonts w:cs="Arial"/>
          <w:sz w:val="20"/>
        </w:rPr>
        <w:t xml:space="preserve"> </w:t>
      </w:r>
    </w:p>
    <w:p w:rsidR="003F789A" w:rsidRDefault="003F789A" w:rsidP="0032165B">
      <w:pPr>
        <w:numPr>
          <w:ilvl w:val="0"/>
          <w:numId w:val="31"/>
        </w:numPr>
        <w:suppressAutoHyphens w:val="0"/>
        <w:ind w:left="567"/>
        <w:rPr>
          <w:rStyle w:val="Heading1Char"/>
        </w:rPr>
      </w:pPr>
      <w:r>
        <w:rPr>
          <w:rStyle w:val="Heading1Char"/>
        </w:rPr>
        <w:br w:type="page"/>
      </w:r>
      <w:bookmarkStart w:id="5" w:name="_Toc436757131"/>
      <w:bookmarkStart w:id="6" w:name="_Toc436758070"/>
      <w:bookmarkStart w:id="7" w:name="_Toc436915594"/>
      <w:bookmarkStart w:id="8" w:name="_Toc436916035"/>
      <w:r>
        <w:rPr>
          <w:rStyle w:val="Heading1Char"/>
        </w:rPr>
        <w:lastRenderedPageBreak/>
        <w:t>Socio-cultural values and valuation</w:t>
      </w:r>
      <w:bookmarkEnd w:id="5"/>
      <w:bookmarkEnd w:id="6"/>
      <w:bookmarkEnd w:id="7"/>
      <w:bookmarkEnd w:id="8"/>
    </w:p>
    <w:p w:rsidR="003F789A" w:rsidRDefault="003F789A" w:rsidP="00986656">
      <w:pPr>
        <w:rPr>
          <w:rStyle w:val="Heading1Char"/>
          <w:b w:val="0"/>
          <w:color w:val="auto"/>
          <w:sz w:val="20"/>
          <w:szCs w:val="20"/>
        </w:rPr>
      </w:pPr>
    </w:p>
    <w:p w:rsidR="003F789A" w:rsidRPr="008D1372" w:rsidRDefault="003F789A" w:rsidP="008D1372">
      <w:pPr>
        <w:ind w:firstLine="283"/>
        <w:rPr>
          <w:rStyle w:val="Heading1Char"/>
          <w:color w:val="auto"/>
          <w:sz w:val="20"/>
          <w:szCs w:val="20"/>
        </w:rPr>
      </w:pPr>
      <w:bookmarkStart w:id="9" w:name="_Toc436757132"/>
      <w:bookmarkStart w:id="10" w:name="_Toc436758071"/>
      <w:bookmarkStart w:id="11" w:name="_Toc436915595"/>
      <w:r>
        <w:rPr>
          <w:rStyle w:val="Heading1Char"/>
          <w:color w:val="auto"/>
          <w:sz w:val="20"/>
          <w:szCs w:val="20"/>
        </w:rPr>
        <w:t xml:space="preserve"> </w:t>
      </w:r>
      <w:r>
        <w:rPr>
          <w:rStyle w:val="Heading1Char"/>
          <w:color w:val="auto"/>
          <w:sz w:val="20"/>
          <w:szCs w:val="20"/>
        </w:rPr>
        <w:tab/>
      </w:r>
      <w:bookmarkStart w:id="12" w:name="_Toc436916036"/>
      <w:r w:rsidRPr="008D1372">
        <w:rPr>
          <w:rStyle w:val="Heading1Char"/>
          <w:color w:val="auto"/>
          <w:sz w:val="20"/>
          <w:szCs w:val="20"/>
        </w:rPr>
        <w:t>Craig Bullock</w:t>
      </w:r>
      <w:bookmarkEnd w:id="9"/>
      <w:bookmarkEnd w:id="10"/>
      <w:bookmarkEnd w:id="11"/>
      <w:bookmarkEnd w:id="12"/>
      <w:r w:rsidRPr="008D1372">
        <w:rPr>
          <w:rStyle w:val="Heading1Char"/>
          <w:color w:val="auto"/>
          <w:sz w:val="20"/>
          <w:szCs w:val="20"/>
        </w:rPr>
        <w:t xml:space="preserve"> </w:t>
      </w:r>
    </w:p>
    <w:p w:rsidR="003F789A" w:rsidRPr="001836A8" w:rsidRDefault="003F789A" w:rsidP="001836A8">
      <w:pPr>
        <w:ind w:left="283" w:firstLine="284"/>
        <w:rPr>
          <w:rStyle w:val="Heading1Char"/>
          <w:b w:val="0"/>
          <w:color w:val="808080"/>
          <w:sz w:val="20"/>
          <w:szCs w:val="20"/>
        </w:rPr>
      </w:pPr>
      <w:bookmarkStart w:id="13" w:name="_Toc436757133"/>
      <w:bookmarkStart w:id="14" w:name="_Toc436758072"/>
      <w:bookmarkStart w:id="15" w:name="_Toc436915596"/>
      <w:bookmarkStart w:id="16" w:name="_Toc436916037"/>
      <w:r w:rsidRPr="001836A8">
        <w:rPr>
          <w:rStyle w:val="Heading1Char"/>
          <w:b w:val="0"/>
          <w:color w:val="808080"/>
          <w:sz w:val="20"/>
          <w:szCs w:val="20"/>
        </w:rPr>
        <w:t>Based on a paper submitted to CAB Reviews</w:t>
      </w:r>
      <w:bookmarkEnd w:id="13"/>
      <w:bookmarkEnd w:id="14"/>
      <w:bookmarkEnd w:id="15"/>
      <w:bookmarkEnd w:id="16"/>
    </w:p>
    <w:p w:rsidR="003F789A" w:rsidRPr="00883D8B" w:rsidRDefault="003F789A" w:rsidP="00883D8B">
      <w:pPr>
        <w:rPr>
          <w:rStyle w:val="Heading1Char"/>
          <w:b w:val="0"/>
          <w:color w:val="auto"/>
          <w:sz w:val="20"/>
          <w:szCs w:val="20"/>
        </w:rPr>
      </w:pPr>
    </w:p>
    <w:p w:rsidR="003F789A" w:rsidRPr="008376E8" w:rsidRDefault="003F789A" w:rsidP="0032165B">
      <w:pPr>
        <w:pStyle w:val="Heading2"/>
        <w:numPr>
          <w:ilvl w:val="1"/>
          <w:numId w:val="31"/>
        </w:numPr>
        <w:ind w:left="567" w:hanging="567"/>
        <w:rPr>
          <w:rFonts w:ascii="Arial Bold" w:hAnsi="Arial Bold"/>
          <w:color w:val="00B050"/>
        </w:rPr>
      </w:pPr>
      <w:bookmarkStart w:id="17" w:name="_Toc436757134"/>
      <w:bookmarkStart w:id="18" w:name="_Toc436758073"/>
      <w:bookmarkStart w:id="19" w:name="_Toc436915597"/>
      <w:bookmarkStart w:id="20" w:name="_Toc436916038"/>
      <w:r w:rsidRPr="008376E8">
        <w:rPr>
          <w:rStyle w:val="Heading1Char"/>
          <w:color w:val="00B050"/>
          <w:sz w:val="36"/>
          <w:szCs w:val="20"/>
        </w:rPr>
        <w:t>Introduction</w:t>
      </w:r>
      <w:bookmarkEnd w:id="17"/>
      <w:bookmarkEnd w:id="18"/>
      <w:bookmarkEnd w:id="19"/>
      <w:bookmarkEnd w:id="20"/>
    </w:p>
    <w:p w:rsidR="003F789A" w:rsidRPr="00A84ED6" w:rsidRDefault="003F789A" w:rsidP="00AD0F4B">
      <w:pPr>
        <w:rPr>
          <w:rFonts w:cs="Arial"/>
          <w:sz w:val="20"/>
        </w:rPr>
      </w:pPr>
    </w:p>
    <w:p w:rsidR="003F789A" w:rsidRPr="00D14B4E" w:rsidRDefault="003F789A" w:rsidP="00AD0F4B">
      <w:pPr>
        <w:rPr>
          <w:rFonts w:cs="Arial"/>
          <w:sz w:val="20"/>
        </w:rPr>
      </w:pPr>
      <w:r w:rsidRPr="00D14B4E">
        <w:rPr>
          <w:rFonts w:cs="Arial"/>
          <w:sz w:val="20"/>
        </w:rPr>
        <w:t>One of the attractions of the concept of ecosystem services (ES) is that it can be used to demonstrate the value of ecosystems for human well-being and to ensure that politicians and policy-makers are correctly informed in situations where there could otherwise appear to be competing demands between economic growth and protection of the environment. This requires an understanding of the full range of values that people attach to their environment.</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For the most part, these values have to date been represented either in ecological or economic terms. State-of-the-art economic values and valuation methods were discussed in the project deliverable associated with the preceding </w:t>
      </w:r>
      <w:proofErr w:type="spellStart"/>
      <w:r w:rsidRPr="00D14B4E">
        <w:rPr>
          <w:rFonts w:cs="Arial"/>
          <w:sz w:val="20"/>
        </w:rPr>
        <w:t>worktask</w:t>
      </w:r>
      <w:proofErr w:type="spellEnd"/>
      <w:r w:rsidRPr="00D14B4E">
        <w:rPr>
          <w:rFonts w:cs="Arial"/>
          <w:sz w:val="20"/>
        </w:rPr>
        <w:t>. These have an attraction to policy makers because they use monetary measures to express changes in social welfare. They have immediate relevance to the trade-offs that these policy makers have to make between economic growth and other factors that contribute to well-being. An economic valuation aims to ensure that both individual and policy decisions are informed by evidence of the true social value of competing goods. This is a laudable objective many environmental goods, in particular, is not captured by market prices with the risk that these goods will be over-used or exploited. For these reasons, work on economic valuation represents an important output of the OPERAs project.</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However, neo-classical economic theory presumes that decision making and consumer behaviour are informed by considerations of individual utility alone and ignores the social or ecological context </w:t>
      </w:r>
      <w:r w:rsidRPr="00D14B4E">
        <w:rPr>
          <w:rFonts w:cs="Arial"/>
          <w:sz w:val="20"/>
        </w:rPr>
        <w:fldChar w:fldCharType="begin"/>
      </w:r>
      <w:r w:rsidRPr="00D14B4E">
        <w:rPr>
          <w:rFonts w:cs="Arial"/>
          <w:sz w:val="20"/>
        </w:rPr>
        <w:instrText xml:space="preserve"> ADDIN EN.CITE &lt;EndNote&gt;&lt;Cite&gt;&lt;Author&gt;Georgescu-Roegen&lt;/Author&gt;&lt;Year&gt;1971&lt;/Year&gt;&lt;RecNum&gt;49&lt;/RecNum&gt;&lt;record&gt;&lt;rec-number&gt;49&lt;/rec-number&gt;&lt;foreign-keys&gt;&lt;key app="EN" db-id="5ftdfes98t9e5be95sgx9z2jetzr0sap0asr"&gt;49&lt;/key&gt;&lt;/foreign-keys&gt;&lt;ref-type name="Book"&gt;6&lt;/ref-type&gt;&lt;contributors&gt;&lt;authors&gt;&lt;author&gt;Georgescu-Roegen, N&lt;/author&gt;&lt;/authors&gt;&lt;/contributors&gt;&lt;titles&gt;&lt;title&gt;The Entropy Law and the Economic Process&lt;/title&gt;&lt;/titles&gt;&lt;dates&gt;&lt;year&gt;1971&lt;/year&gt;&lt;/dates&gt;&lt;pub-location&gt;Cambridge, MA&lt;/pub-location&gt;&lt;publisher&gt;Harvard University Press&lt;/publisher&gt;&lt;urls&gt;&lt;/urls&gt;&lt;/record&gt;&lt;/Cite&gt;&lt;Cite&gt;&lt;Author&gt;Gowdy&lt;/Author&gt;&lt;Year&gt;2001&lt;/Year&gt;&lt;RecNum&gt;9&lt;/RecNum&gt;&lt;record&gt;&lt;rec-number&gt;9&lt;/rec-number&gt;&lt;foreign-keys&gt;&lt;key app="EN" db-id="x2atpse2dv5zz4ezef45ssa2vzstpedpzt2p"&gt;9&lt;/key&gt;&lt;/foreign-keys&gt;&lt;ref-type name="Journal Article"&gt;17&lt;/ref-type&gt;&lt;contributors&gt;&lt;authors&gt;&lt;author&gt;Gowdy, John M&lt;/author&gt;&lt;author&gt;Mayumi, Kozo&lt;/author&gt;&lt;/authors&gt;&lt;/contributors&gt;&lt;titles&gt;&lt;title&gt;Reformulating the foundations of consumer choice theory and environmental valuation&lt;/title&gt;&lt;secondary-title&gt;Ecological Values&lt;/secondary-title&gt;&lt;/titles&gt;&lt;periodical&gt;&lt;full-title&gt;Ecological Values&lt;/full-title&gt;&lt;/periodical&gt;&lt;pages&gt;223-237&lt;/pages&gt;&lt;volume&gt;39&lt;/volume&gt;&lt;number&gt;2&lt;/number&gt;&lt;dates&gt;&lt;year&gt;2001&lt;/year&gt;&lt;/dates&gt;&lt;urls&gt;&lt;/urls&gt;&lt;/record&gt;&lt;/Cite&gt;&lt;/EndNote&gt;</w:instrText>
      </w:r>
      <w:r w:rsidRPr="00D14B4E">
        <w:rPr>
          <w:rFonts w:cs="Arial"/>
          <w:sz w:val="20"/>
        </w:rPr>
        <w:fldChar w:fldCharType="separate"/>
      </w:r>
      <w:r w:rsidRPr="00D14B4E">
        <w:rPr>
          <w:rFonts w:cs="Arial"/>
          <w:sz w:val="20"/>
        </w:rPr>
        <w:t>(Georgescu-Roegen, 1971; Gowdy and Mayumi, 2001)</w:t>
      </w:r>
      <w:r w:rsidRPr="00D14B4E">
        <w:rPr>
          <w:rFonts w:cs="Arial"/>
          <w:sz w:val="20"/>
        </w:rPr>
        <w:fldChar w:fldCharType="end"/>
      </w:r>
      <w:r w:rsidRPr="00D14B4E">
        <w:rPr>
          <w:rFonts w:cs="Arial"/>
          <w:sz w:val="20"/>
        </w:rPr>
        <w:t xml:space="preserve">. There are other values that inform decision making, for example values associated with ethical principles or cultural traditions. These values are typically imprinted in a person to a varying degree with respect to the society and culture to which they belong </w:t>
      </w:r>
      <w:r w:rsidRPr="00D14B4E">
        <w:rPr>
          <w:rFonts w:cs="Arial"/>
          <w:sz w:val="20"/>
        </w:rPr>
        <w:fldChar w:fldCharType="begin"/>
      </w:r>
      <w:r w:rsidRPr="00D14B4E">
        <w:rPr>
          <w:rFonts w:cs="Arial"/>
          <w:sz w:val="20"/>
        </w:rPr>
        <w:instrText xml:space="preserve"> ADDIN EN.CITE &lt;EndNote&gt;&lt;Cite&gt;&lt;Author&gt;Kumar&lt;/Author&gt;&lt;Year&gt;2008&lt;/Year&gt;&lt;RecNum&gt;311&lt;/RecNum&gt;&lt;record&gt;&lt;rec-number&gt;311&lt;/rec-number&gt;&lt;foreign-keys&gt;&lt;key app="EN" db-id="e2vf2w0dqe2fp9e00z5xrt55vxxafpp00ves"&gt;311&lt;/key&gt;&lt;/foreign-keys&gt;&lt;ref-type name="Journal Article"&gt;17&lt;/ref-type&gt;&lt;contributors&gt;&lt;authors&gt;&lt;author&gt;Kumar, Manasi&lt;/author&gt;&lt;author&gt;Kumar, Pushpan&lt;/author&gt;&lt;/authors&gt;&lt;/contributors&gt;&lt;titles&gt;&lt;title&gt;Valuation of the ecosystem services: A psycho-cultural perspective&lt;/title&gt;&lt;secondary-title&gt;Ecological Economics&lt;/secondary-title&gt;&lt;/titles&gt;&lt;periodical&gt;&lt;full-title&gt;Ecological Economics&lt;/full-title&gt;&lt;/periodical&gt;&lt;volume&gt;64&lt;/volume&gt;&lt;number&gt;808-819&lt;/number&gt;&lt;dates&gt;&lt;year&gt;2008&lt;/year&gt;&lt;/dates&gt;&lt;urls&gt;&lt;/urls&gt;&lt;/record&gt;&lt;/Cite&gt;&lt;/EndNote&gt;</w:instrText>
      </w:r>
      <w:r w:rsidRPr="00D14B4E">
        <w:rPr>
          <w:rFonts w:cs="Arial"/>
          <w:sz w:val="20"/>
        </w:rPr>
        <w:fldChar w:fldCharType="separate"/>
      </w:r>
      <w:r w:rsidRPr="00D14B4E">
        <w:rPr>
          <w:rFonts w:cs="Arial"/>
          <w:sz w:val="20"/>
        </w:rPr>
        <w:t>(Kumar and Kumar, 2008)</w:t>
      </w:r>
      <w:r w:rsidRPr="00D14B4E">
        <w:rPr>
          <w:rFonts w:cs="Arial"/>
          <w:sz w:val="20"/>
        </w:rPr>
        <w:fldChar w:fldCharType="end"/>
      </w:r>
      <w:r w:rsidRPr="00D14B4E">
        <w:rPr>
          <w:rFonts w:cs="Arial"/>
          <w:sz w:val="20"/>
        </w:rPr>
        <w:t xml:space="preserve">. Consequently, these values are shared with those of the wider community and are often reinforced by a mutual dependence on the environment. </w:t>
      </w:r>
    </w:p>
    <w:p w:rsidR="003F789A" w:rsidRPr="00D14B4E" w:rsidRDefault="003F789A" w:rsidP="00AD0F4B">
      <w:pPr>
        <w:rPr>
          <w:rFonts w:cs="Arial"/>
          <w:sz w:val="20"/>
        </w:rPr>
      </w:pPr>
    </w:p>
    <w:p w:rsidR="003F789A" w:rsidRDefault="003F789A" w:rsidP="00AD0F4B">
      <w:pPr>
        <w:rPr>
          <w:rFonts w:cs="Arial"/>
          <w:sz w:val="20"/>
        </w:rPr>
      </w:pPr>
      <w:r w:rsidRPr="00D14B4E">
        <w:rPr>
          <w:rFonts w:cs="Arial"/>
          <w:sz w:val="20"/>
        </w:rPr>
        <w:t xml:space="preserve">In this deliverable we firstly introduce this wider set of </w:t>
      </w:r>
      <w:r w:rsidRPr="00D14B4E">
        <w:rPr>
          <w:rFonts w:cs="Arial"/>
          <w:i/>
          <w:sz w:val="20"/>
        </w:rPr>
        <w:t>socio-cultural values</w:t>
      </w:r>
      <w:r w:rsidRPr="00D14B4E">
        <w:rPr>
          <w:rFonts w:cs="Arial"/>
          <w:sz w:val="20"/>
        </w:rPr>
        <w:t xml:space="preserve">. We provide examples of multi-attribute approaches to the estimation of these values. We also explore the influence of the spatial context on socio-cultural values. We illustrate these factors with work undertaken within some of the project exemplars and through examples drawn from outside of OPERAs. One objective is to demonstrate the particular methods needed to explore the role of socio-cultural values. We also aim to examine the potential for complementary or integrated approaches for both socio-cultural and economic valuation of ecosystem services. Diverse or integrated methods of valuation have relevance to governance and to institutional frameworks or policy tools for the management of environmental resources. An inclusion of socio-cultural values in ES research can be used to understand the role of rights, plural and shared values, the multi-causality of social, biophysical and social-ecological </w:t>
      </w:r>
      <w:r w:rsidRPr="00D14B4E">
        <w:rPr>
          <w:rFonts w:cs="Arial"/>
          <w:sz w:val="20"/>
        </w:rPr>
        <w:lastRenderedPageBreak/>
        <w:t xml:space="preserve">influences, and interdependence between ecological processes and value systems (after </w:t>
      </w:r>
      <w:r w:rsidRPr="00D14B4E">
        <w:rPr>
          <w:rFonts w:cs="Arial"/>
          <w:sz w:val="20"/>
        </w:rPr>
        <w:fldChar w:fldCharType="begin"/>
      </w:r>
      <w:r w:rsidRPr="00D14B4E">
        <w:rPr>
          <w:rFonts w:cs="Arial"/>
          <w:sz w:val="20"/>
        </w:rPr>
        <w:instrText xml:space="preserve"> ADDIN EN.CITE &lt;EndNote&gt;&lt;Cite&gt;&lt;Author&gt;IPBES&lt;/Author&gt;&lt;Year&gt;2015&lt;/Year&gt;&lt;RecNum&gt;291&lt;/RecNum&gt;&lt;record&gt;&lt;rec-number&gt;291&lt;/rec-number&gt;&lt;foreign-keys&gt;&lt;key app="EN" db-id="e2vf2w0dqe2fp9e00z5xrt55vxxafpp00ves"&gt;291&lt;/key&gt;&lt;/foreign-keys&gt;&lt;ref-type name="Report"&gt;27&lt;/ref-type&gt;&lt;contributors&gt;&lt;authors&gt;&lt;author&gt;IPBES&lt;/author&gt;&lt;/authors&gt;&lt;/contributors&gt;&lt;titles&gt;&lt;title&gt;Preliminary guide regarding diverse conceptualization of multiple values of nature and its benefits, including biodiversity and ecosystem functions and services. Draft 29 December 2014.&lt;/title&gt;&lt;/titles&gt;&lt;volume&gt;Draft report&lt;/volume&gt;&lt;number&gt;IPBES/3/INF/7&lt;/number&gt;&lt;dates&gt;&lt;year&gt;2015&lt;/year&gt;&lt;/dates&gt;&lt;pub-location&gt;Bonn, Germany &lt;/pub-location&gt;&lt;publisher&gt;Intergovernmental Science-Policy Platform on Biodiversity and Ecosystem Services&lt;/publisher&gt;&lt;urls&gt;&lt;/urls&gt;&lt;/record&gt;&lt;/Cite&gt;&lt;/EndNote&gt;</w:instrText>
      </w:r>
      <w:r w:rsidRPr="00D14B4E">
        <w:rPr>
          <w:rFonts w:cs="Arial"/>
          <w:sz w:val="20"/>
        </w:rPr>
        <w:fldChar w:fldCharType="separate"/>
      </w:r>
      <w:r w:rsidRPr="00D14B4E">
        <w:rPr>
          <w:rFonts w:cs="Arial"/>
          <w:sz w:val="20"/>
        </w:rPr>
        <w:t>(IPBES, 2015)</w:t>
      </w:r>
      <w:r w:rsidRPr="00D14B4E">
        <w:rPr>
          <w:rFonts w:cs="Arial"/>
          <w:sz w:val="20"/>
        </w:rPr>
        <w:fldChar w:fldCharType="end"/>
      </w:r>
      <w:r w:rsidRPr="00D14B4E">
        <w:rPr>
          <w:rFonts w:cs="Arial"/>
          <w:sz w:val="20"/>
        </w:rPr>
        <w:t xml:space="preserve">). </w:t>
      </w:r>
    </w:p>
    <w:p w:rsidR="003F789A" w:rsidRPr="00D14B4E" w:rsidRDefault="003F789A" w:rsidP="00AD0F4B">
      <w:pPr>
        <w:rPr>
          <w:rFonts w:cs="Arial"/>
          <w:sz w:val="20"/>
        </w:rPr>
      </w:pPr>
    </w:p>
    <w:p w:rsidR="003F789A" w:rsidRPr="00D14B4E" w:rsidRDefault="003F789A" w:rsidP="00AD0F4B">
      <w:pPr>
        <w:rPr>
          <w:rFonts w:cs="Arial"/>
          <w:sz w:val="20"/>
        </w:rPr>
      </w:pPr>
    </w:p>
    <w:p w:rsidR="003F789A" w:rsidRPr="00897304" w:rsidRDefault="003F789A" w:rsidP="0032165B">
      <w:pPr>
        <w:pStyle w:val="Heading2"/>
        <w:widowControl w:val="0"/>
        <w:numPr>
          <w:ilvl w:val="1"/>
          <w:numId w:val="31"/>
        </w:numPr>
        <w:ind w:left="709"/>
        <w:rPr>
          <w:rFonts w:ascii="Arial Bold" w:hAnsi="Arial Bold"/>
          <w:color w:val="00B050"/>
        </w:rPr>
      </w:pPr>
      <w:bookmarkStart w:id="21" w:name="_Toc436757135"/>
      <w:bookmarkStart w:id="22" w:name="_Toc436758074"/>
      <w:bookmarkStart w:id="23" w:name="_Toc436915598"/>
      <w:bookmarkStart w:id="24" w:name="_Toc436916039"/>
      <w:r w:rsidRPr="00897304">
        <w:rPr>
          <w:rFonts w:ascii="Arial Bold" w:hAnsi="Arial Bold"/>
          <w:color w:val="00B050"/>
        </w:rPr>
        <w:t>Social cultural values</w:t>
      </w:r>
      <w:bookmarkEnd w:id="21"/>
      <w:bookmarkEnd w:id="22"/>
      <w:bookmarkEnd w:id="23"/>
      <w:bookmarkEnd w:id="24"/>
    </w:p>
    <w:p w:rsidR="003F789A" w:rsidRPr="00D14B4E" w:rsidRDefault="003F789A" w:rsidP="00211E5C">
      <w:pPr>
        <w:keepNext/>
        <w:widowControl w:val="0"/>
        <w:rPr>
          <w:rFonts w:cs="Arial"/>
          <w:sz w:val="20"/>
        </w:rPr>
      </w:pPr>
    </w:p>
    <w:p w:rsidR="003F789A" w:rsidRPr="00D14B4E" w:rsidRDefault="003F789A" w:rsidP="00211E5C">
      <w:pPr>
        <w:keepNext/>
        <w:widowControl w:val="0"/>
        <w:rPr>
          <w:rFonts w:cs="Arial"/>
          <w:sz w:val="20"/>
        </w:rPr>
      </w:pPr>
      <w:r w:rsidRPr="00D14B4E">
        <w:rPr>
          <w:rFonts w:cs="Arial"/>
          <w:sz w:val="20"/>
        </w:rPr>
        <w:t xml:space="preserve">As research on the socio-cultural valuation of ES (within the ES framework) has only recently emerged, there is no common conceptualisation of what socio-cultural values are </w:t>
      </w:r>
      <w:r w:rsidRPr="00D14B4E">
        <w:rPr>
          <w:rFonts w:cs="Arial"/>
          <w:sz w:val="20"/>
        </w:rPr>
        <w:fldChar w:fldCharType="begin"/>
      </w:r>
      <w:r w:rsidRPr="00D14B4E">
        <w:rPr>
          <w:rFonts w:cs="Arial"/>
          <w:sz w:val="20"/>
        </w:rPr>
        <w:instrText xml:space="preserve"> ADDIN EN.CITE &lt;EndNote&gt;&lt;Cite&gt;&lt;Author&gt;Scholte&lt;/Author&gt;&lt;Year&gt;2014&lt;/Year&gt;&lt;RecNum&gt;37&lt;/RecNum&gt;&lt;record&gt;&lt;rec-number&gt;37&lt;/rec-number&gt;&lt;foreign-keys&gt;&lt;key app="EN" db-id="x2atpse2dv5zz4ezef45ssa2vzstpedpzt2p"&gt;37&lt;/key&gt;&lt;/foreign-keys&gt;&lt;ref-type name="Journal Article"&gt;17&lt;/ref-type&gt;&lt;contributors&gt;&lt;authors&gt;&lt;author&gt;Scholte, Samantha S.K&lt;/author&gt;&lt;author&gt;van Teeffelen, Astrid J.A van&lt;/author&gt;&lt;author&gt;Verburg, Peter H&lt;/author&gt;&lt;/authors&gt;&lt;/contributors&gt;&lt;titles&gt;&lt;title&gt;Integrating socio-cultural perspectives into ecosystem service valuation: a review of concepts and methodologies&lt;/title&gt;&lt;secondary-title&gt;Ecological Economics&lt;/secondary-title&gt;&lt;/titles&gt;&lt;periodical&gt;&lt;full-title&gt;Ecological Economics&lt;/full-title&gt;&lt;/periodical&gt;&lt;volume&gt;draft&lt;/volume&gt;&lt;dates&gt;&lt;year&gt;2014&lt;/year&gt;&lt;/dates&gt;&lt;urls&gt;&lt;/urls&gt;&lt;/record&gt;&lt;/Cite&gt;&lt;/EndNote&gt;</w:instrText>
      </w:r>
      <w:r w:rsidRPr="00D14B4E">
        <w:rPr>
          <w:rFonts w:cs="Arial"/>
          <w:sz w:val="20"/>
        </w:rPr>
        <w:fldChar w:fldCharType="separate"/>
      </w:r>
      <w:r w:rsidRPr="00D14B4E">
        <w:rPr>
          <w:rFonts w:cs="Arial"/>
          <w:sz w:val="20"/>
        </w:rPr>
        <w:t>(Scholte et al., 2014)</w:t>
      </w:r>
      <w:r w:rsidRPr="00D14B4E">
        <w:rPr>
          <w:rFonts w:cs="Arial"/>
          <w:sz w:val="20"/>
        </w:rPr>
        <w:fldChar w:fldCharType="end"/>
      </w:r>
      <w:r w:rsidRPr="00D14B4E">
        <w:rPr>
          <w:rFonts w:cs="Arial"/>
          <w:sz w:val="20"/>
        </w:rPr>
        <w:t xml:space="preserve">. Rather, insights are lent by disciplines such as psychology, philosophy, sociology and different branches of economics such as ecological and behavioural economics. As noted above, we inherit certain values from our membership of the culture (or society) to which we belong and principles that guide our behaviour and way of life. These values vary for all individuals, but become socio-cultural values as they are informed by personal experience, social institutions and social interaction. They are reflected in our way of life, our sense of identity and are reinforced by social processes </w:t>
      </w:r>
      <w:r w:rsidRPr="00D14B4E">
        <w:rPr>
          <w:rFonts w:cs="Arial"/>
          <w:sz w:val="20"/>
        </w:rPr>
        <w:fldChar w:fldCharType="begin"/>
      </w:r>
      <w:r w:rsidRPr="00D14B4E">
        <w:rPr>
          <w:rFonts w:cs="Arial"/>
          <w:sz w:val="20"/>
        </w:rPr>
        <w:instrText xml:space="preserve"> ADDIN EN.CITE &lt;EndNote&gt;&lt;Cite&gt;&lt;Author&gt;Thrift&lt;/Author&gt;&lt;Year&gt;2004&lt;/Year&gt;&lt;RecNum&gt;76&lt;/RecNum&gt;&lt;record&gt;&lt;rec-number&gt;76&lt;/rec-number&gt;&lt;foreign-keys&gt;&lt;key app="EN" db-id="x2atpse2dv5zz4ezef45ssa2vzstpedpzt2p"&gt;76&lt;/key&gt;&lt;/foreign-keys&gt;&lt;ref-type name="Book"&gt;6&lt;/ref-type&gt;&lt;contributors&gt;&lt;authors&gt;&lt;author&gt;Thrift, N&lt;/author&gt;&lt;author&gt;Whatmore, S&lt;/author&gt;&lt;/authors&gt;&lt;/contributors&gt;&lt;titles&gt;&lt;title&gt;Cultural Geography: Critical Concepts in the Social Sciences&lt;/title&gt;&lt;/titles&gt;&lt;dates&gt;&lt;year&gt;2004&lt;/year&gt;&lt;/dates&gt;&lt;pub-location&gt;London and New York&lt;/pub-location&gt;&lt;publisher&gt;Routledge&lt;/publisher&gt;&lt;urls&gt;&lt;/urls&gt;&lt;/record&gt;&lt;/Cite&gt;&lt;/EndNote&gt;</w:instrText>
      </w:r>
      <w:r w:rsidRPr="00D14B4E">
        <w:rPr>
          <w:rFonts w:cs="Arial"/>
          <w:sz w:val="20"/>
        </w:rPr>
        <w:fldChar w:fldCharType="separate"/>
      </w:r>
      <w:r w:rsidRPr="00D14B4E">
        <w:rPr>
          <w:rFonts w:cs="Arial"/>
          <w:sz w:val="20"/>
        </w:rPr>
        <w:t>(Thrift and Whatmore, 2004)</w:t>
      </w:r>
      <w:r w:rsidRPr="00D14B4E">
        <w:rPr>
          <w:rFonts w:cs="Arial"/>
          <w:sz w:val="20"/>
        </w:rPr>
        <w:fldChar w:fldCharType="end"/>
      </w:r>
      <w:r w:rsidRPr="00D14B4E">
        <w:rPr>
          <w:rFonts w:cs="Arial"/>
          <w:sz w:val="20"/>
        </w:rPr>
        <w:t xml:space="preserve">. In other cases, purely utility-based values will be relevant to the motivations of individuals or groups. These too are a form of socio-cultural values.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Consequently, a plurality of values is present. This plurality immediately introduces an unwelcome complexity. Although socio-cultural values are anthropocentric, many can be assumed to be incommensurable and incapable of being reduced to a single entity such as willingness-to-pay </w:t>
      </w:r>
      <w:r w:rsidRPr="00D14B4E">
        <w:rPr>
          <w:rFonts w:cs="Arial"/>
          <w:sz w:val="20"/>
        </w:rPr>
        <w:fldChar w:fldCharType="begin">
          <w:fldData xml:space="preserve">PEVuZE5vdGU+PENpdGU+PEF1dGhvcj5NYXJ0aW5lei1BbGllcjwvQXV0aG9yPjxZZWFyPjE5OTg8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</w:fldData>
        </w:fldChar>
      </w:r>
      <w:r w:rsidRPr="00D14B4E">
        <w:rPr>
          <w:rFonts w:cs="Arial"/>
          <w:sz w:val="20"/>
        </w:rPr>
        <w:instrText xml:space="preserve"> ADDIN EN.CITE </w:instrText>
      </w:r>
      <w:r w:rsidRPr="00D14B4E">
        <w:rPr>
          <w:rFonts w:cs="Arial"/>
          <w:sz w:val="20"/>
        </w:rPr>
        <w:fldChar w:fldCharType="begin">
          <w:fldData xml:space="preserve">PEVuZE5vdGU+PENpdGU+PEF1dGhvcj5NYXJ0aW5lei1BbGllcjwvQXV0aG9yPjxZZWFyPjE5OTg8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(de Groot et al., 2002; Farber et al., 2002; Martinez-Alier et al., 1998)</w:t>
      </w:r>
      <w:r w:rsidRPr="00D14B4E">
        <w:rPr>
          <w:rFonts w:cs="Arial"/>
          <w:sz w:val="20"/>
        </w:rPr>
        <w:fldChar w:fldCharType="end"/>
      </w:r>
      <w:r w:rsidRPr="00D14B4E">
        <w:rPr>
          <w:rFonts w:cs="Arial"/>
          <w:sz w:val="20"/>
        </w:rPr>
        <w:t>.  The emerging Intergovernmental Panel of Biodiversity and Ecosystem Services (IPBES) is currently grappling with the diverse conceptualisation of values as they exist between different individuals, stakeholders, communities and cultures. However, a recognition of the existence of different worldviews and value plurality, and the on-going development of methods that can account for all, or at least many, of these values, will ultimately strengthen the concept of ES by widening its relevance and acceptability.</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A pluralistic approach to ecosystem service valuation necessitates a deeper investigation into types of socio-cultural values including shared and relational values. This requires that we distinguish between value heterogeneity between individuals and the role of contemporary social interactions or inherited cultural values that, for example, determine beliefs and attitudes to such topics as equity and morality.  Socio-cultural values are particularly relevant to the tangible and less tangible benefits that people associate with cultural ecosystem services (CES) in that these deal with non-material benefits in which social activities and cultural values have an active influence </w:t>
      </w:r>
      <w:r w:rsidRPr="00D14B4E">
        <w:rPr>
          <w:rFonts w:cs="Arial"/>
          <w:sz w:val="20"/>
        </w:rPr>
        <w:fldChar w:fldCharType="begin">
          <w:fldData xml:space="preserve">PEVuZE5vdGU+PENpdGU+PEF1dGhvcj5DaGFuPC9BdXRob3I+PFllYXI+MjAxMjwvWWVhcj48UmVj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</w:fldData>
        </w:fldChar>
      </w:r>
      <w:r w:rsidRPr="00D14B4E">
        <w:rPr>
          <w:rFonts w:cs="Arial"/>
          <w:sz w:val="20"/>
        </w:rPr>
        <w:instrText xml:space="preserve"> ADDIN EN.CITE </w:instrText>
      </w:r>
      <w:r w:rsidRPr="00D14B4E">
        <w:rPr>
          <w:rFonts w:cs="Arial"/>
          <w:sz w:val="20"/>
        </w:rPr>
        <w:fldChar w:fldCharType="begin">
          <w:fldData xml:space="preserve">PEVuZE5vdGU+PENpdGU+PEF1dGhvcj5DaGFuPC9BdXRob3I+PFllYXI+MjAxMjwvWWVhcj48UmVj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(Chan et al., 2012)</w:t>
      </w:r>
      <w:r w:rsidRPr="00D14B4E">
        <w:rPr>
          <w:rFonts w:cs="Arial"/>
          <w:sz w:val="20"/>
        </w:rPr>
        <w:fldChar w:fldCharType="end"/>
      </w:r>
      <w:r w:rsidRPr="00D14B4E">
        <w:rPr>
          <w:rFonts w:cs="Arial"/>
          <w:sz w:val="20"/>
        </w:rPr>
        <w:t xml:space="preserve">. For example, the values attached by people to particular landscapes are heavily influenced by socio-cultural values as landscapes typically represent a co-evolution of natural and human influences. But it is also important to understand that socio-cultural values apply to all ecosystem service types as is, indeed, demonstrated by the paper on the Danube wetlands in this deliverable.. They are relevant to the significance that we place on provisioning services, for example where food production or harvesting involves a varying level of interaction with the ecosystem and one that if often guided by cultural practices. They are also relevant to our understanding and interpretation of supporting and regulating ecosystem services.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lastRenderedPageBreak/>
        <w:t xml:space="preserve">In any population there are likely to be divergent views and beliefs. An awareness of social heterogeneity is one of the keys to understanding the nature and diversity of socio-cultural values </w:t>
      </w:r>
      <w:r w:rsidRPr="00D14B4E">
        <w:rPr>
          <w:rFonts w:cs="Arial"/>
          <w:sz w:val="20"/>
        </w:rPr>
        <w:fldChar w:fldCharType="begin"/>
      </w:r>
      <w:r w:rsidRPr="00D14B4E">
        <w:rPr>
          <w:rFonts w:cs="Arial"/>
          <w:sz w:val="20"/>
        </w:rPr>
        <w:instrText xml:space="preserve"> ADDIN EN.CITE &lt;EndNote&gt;&lt;Cite&gt;&lt;Author&gt;Caceras&lt;/Author&gt;&lt;Year&gt;2015&lt;/Year&gt;&lt;RecNum&gt;310&lt;/RecNum&gt;&lt;record&gt;&lt;rec-number&gt;310&lt;/rec-number&gt;&lt;foreign-keys&gt;&lt;key app="EN" db-id="e2vf2w0dqe2fp9e00z5xrt55vxxafpp00ves"&gt;310&lt;/key&gt;&lt;/foreign-keys&gt;&lt;ref-type name="Journal Article"&gt;17&lt;/ref-type&gt;&lt;contributors&gt;&lt;authors&gt;&lt;author&gt;Caceras, Daniel M&lt;/author&gt;&lt;author&gt;Tapella, Estehan&lt;/author&gt;&lt;author&gt;Quetier, Fabian&lt;/author&gt;&lt;author&gt;Diaz, Sandra&lt;/author&gt;&lt;/authors&gt;&lt;/contributors&gt;&lt;titles&gt;&lt;title&gt;The social value of biodiversity and ecosystem services from the perspectives of different social actors&lt;/title&gt;&lt;secondary-title&gt;Ecology and Society&lt;/secondary-title&gt;&lt;/titles&gt;&lt;periodical&gt;&lt;full-title&gt;Ecology and Society&lt;/full-title&gt;&lt;/periodical&gt;&lt;volume&gt;20&lt;/volume&gt;&lt;number&gt;1&lt;/number&gt;&lt;dates&gt;&lt;year&gt;2015&lt;/year&gt;&lt;/dates&gt;&lt;urls&gt;&lt;/urls&gt;&lt;/record&gt;&lt;/Cite&gt;&lt;/EndNote&gt;</w:instrText>
      </w:r>
      <w:r w:rsidRPr="00D14B4E">
        <w:rPr>
          <w:rFonts w:cs="Arial"/>
          <w:sz w:val="20"/>
        </w:rPr>
        <w:fldChar w:fldCharType="separate"/>
      </w:r>
      <w:r w:rsidRPr="00D14B4E">
        <w:rPr>
          <w:rFonts w:cs="Arial"/>
          <w:sz w:val="20"/>
        </w:rPr>
        <w:t>(Caceras et al., 2015)</w:t>
      </w:r>
      <w:r w:rsidRPr="00D14B4E">
        <w:rPr>
          <w:rFonts w:cs="Arial"/>
          <w:sz w:val="20"/>
        </w:rPr>
        <w:fldChar w:fldCharType="end"/>
      </w:r>
      <w:r w:rsidRPr="00D14B4E">
        <w:rPr>
          <w:rFonts w:cs="Arial"/>
          <w:sz w:val="20"/>
        </w:rPr>
        <w:t xml:space="preserve">. Power relations, income and property rights all affect access and attitudes to natural resources. Socio-cultural values are also scale dependent and will change as the sampled population becomes larger or includes people living at a greater distance from the source of particular ecosystem services. At all spatial levels there will be a range of stakeholders and the nature of their relationship to the ecosystem service, or the ecosystem service benefits, will certainly change with distance.  A distance-decay relationship is typically presumed by economics whereby, at a distance,  people may perceive a single site as only making a contribution to a total stock of substitutable sites </w:t>
      </w:r>
      <w:r w:rsidRPr="00D14B4E">
        <w:rPr>
          <w:rFonts w:cs="Arial"/>
          <w:sz w:val="20"/>
        </w:rPr>
        <w:fldChar w:fldCharType="begin"/>
      </w:r>
      <w:r w:rsidRPr="00D14B4E">
        <w:rPr>
          <w:rFonts w:cs="Arial"/>
          <w:sz w:val="20"/>
        </w:rPr>
        <w:instrText xml:space="preserve"> ADDIN EN.CITE &lt;EndNote&gt;&lt;Cite&gt;&lt;Author&gt;Zafonte&lt;/Author&gt;&lt;Year&gt;2007&lt;/Year&gt;&lt;RecNum&gt;43&lt;/RecNum&gt;&lt;record&gt;&lt;rec-number&gt;43&lt;/rec-number&gt;&lt;foreign-keys&gt;&lt;key app="EN" db-id="e2vf2w0dqe2fp9e00z5xrt55vxxafpp00ves"&gt;43&lt;/key&gt;&lt;key app="ENWeb" db-id="UGwBsgrtqiQAACyuNks"&gt;41&lt;/key&gt;&lt;/foreign-keys&gt;&lt;ref-type name="Journal Article"&gt;17&lt;/ref-type&gt;&lt;contributors&gt;&lt;authors&gt;&lt;author&gt;Zafonte, Matthew&lt;/author&gt;&lt;author&gt;Hampton, Steve&lt;/author&gt;&lt;/authors&gt;&lt;/contributors&gt;&lt;titles&gt;&lt;title&gt;Exploring welfare implications of resource equivalency in natural resource damage assessments&lt;/title&gt;&lt;secondary-title&gt;Ecological Economics&lt;/secondary-title&gt;&lt;/titles&gt;&lt;periodical&gt;&lt;full-title&gt;Ecological Economics&lt;/full-title&gt;&lt;/periodical&gt;&lt;pages&gt;134-145&lt;/pages&gt;&lt;number&gt;61&lt;/number&gt;&lt;dates&gt;&lt;year&gt;2007&lt;/year&gt;&lt;/dates&gt;&lt;urls&gt;&lt;/urls&gt;&lt;/record&gt;&lt;/Cite&gt;&lt;/EndNote&gt;</w:instrText>
      </w:r>
      <w:r w:rsidRPr="00D14B4E">
        <w:rPr>
          <w:rFonts w:cs="Arial"/>
          <w:sz w:val="20"/>
        </w:rPr>
        <w:fldChar w:fldCharType="separate"/>
      </w:r>
      <w:r w:rsidRPr="00D14B4E">
        <w:rPr>
          <w:rFonts w:cs="Arial"/>
          <w:sz w:val="20"/>
        </w:rPr>
        <w:t>(Zafonte and Hampton, 2007)</w:t>
      </w:r>
      <w:r w:rsidRPr="00D14B4E">
        <w:rPr>
          <w:rFonts w:cs="Arial"/>
          <w:sz w:val="20"/>
        </w:rPr>
        <w:fldChar w:fldCharType="end"/>
      </w:r>
      <w:r w:rsidRPr="00D14B4E">
        <w:rPr>
          <w:rFonts w:cs="Arial"/>
          <w:sz w:val="20"/>
        </w:rPr>
        <w:t xml:space="preserve">. However, in other cases, the same intensity of values may apply, particularly for non-use goods. Moreover, the very nature of the values will change, for example from an interest in provisioning services to a concern with cultural services, or vice-versa. Equally, while  an ecosystem service could be critical to sustainable local livelihoods, it may also be of symbolic cultural importance.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Context is very important in this regard. The local context will determine the types of socio-cultural values and may comprise of a wider range of ecosystem services. There is the decision or choice itself, the situation to which it applies, whether other members of the community are affected, and whether the decision is “procedural” rather than “substantive” </w:t>
      </w:r>
      <w:r w:rsidRPr="00D14B4E">
        <w:rPr>
          <w:rFonts w:cs="Arial"/>
          <w:sz w:val="20"/>
        </w:rPr>
        <w:fldChar w:fldCharType="begin"/>
      </w:r>
      <w:r w:rsidRPr="00D14B4E">
        <w:rPr>
          <w:rFonts w:cs="Arial"/>
          <w:sz w:val="20"/>
        </w:rPr>
        <w:instrText xml:space="preserve"> ADDIN EN.CITE &lt;EndNote&gt;&lt;Cite&gt;&lt;Author&gt;Simon&lt;/Author&gt;&lt;Year&gt;1979&lt;/Year&gt;&lt;RecNum&gt;35&lt;/RecNum&gt;&lt;record&gt;&lt;rec-number&gt;35&lt;/rec-number&gt;&lt;foreign-keys&gt;&lt;key app="EN" db-id="x2atpse2dv5zz4ezef45ssa2vzstpedpzt2p"&gt;35&lt;/key&gt;&lt;/foreign-keys&gt;&lt;ref-type name="Edited Book"&gt;28&lt;/ref-type&gt;&lt;contributors&gt;&lt;authors&gt;&lt;author&gt;Simon, Herbert&lt;/author&gt;&lt;/authors&gt;&lt;secondary-authors&gt;&lt;author&gt;Hahn, Frank&lt;/author&gt;&lt;author&gt;Hollis, Martin&lt;/author&gt;&lt;/secondary-authors&gt;&lt;/contributors&gt;&lt;titles&gt;&lt;title&gt;From substantive to procedural rationality&lt;/title&gt;&lt;secondary-title&gt;Philosophy and Economic Theory&lt;/secondary-title&gt;&lt;/titles&gt;&lt;volume&gt;65&lt;/volume&gt;&lt;dates&gt;&lt;year&gt;1979&lt;/year&gt;&lt;/dates&gt;&lt;urls&gt;&lt;/urls&gt;&lt;/record&gt;&lt;/Cite&gt;&lt;/EndNote&gt;</w:instrText>
      </w:r>
      <w:r w:rsidRPr="00D14B4E">
        <w:rPr>
          <w:rFonts w:cs="Arial"/>
          <w:sz w:val="20"/>
        </w:rPr>
        <w:fldChar w:fldCharType="separate"/>
      </w:r>
      <w:r w:rsidRPr="00D14B4E">
        <w:rPr>
          <w:rFonts w:cs="Arial"/>
          <w:sz w:val="20"/>
        </w:rPr>
        <w:t>(Simon, 1979)</w:t>
      </w:r>
      <w:r w:rsidRPr="00D14B4E">
        <w:rPr>
          <w:rFonts w:cs="Arial"/>
          <w:sz w:val="20"/>
        </w:rPr>
        <w:fldChar w:fldCharType="end"/>
      </w:r>
      <w:r w:rsidRPr="00D14B4E">
        <w:rPr>
          <w:rFonts w:cs="Arial"/>
          <w:sz w:val="20"/>
        </w:rPr>
        <w:t xml:space="preserve">. Some decisions are routine and will be informed by familiar rules, whereas other higher-order decisions could involve more complex trade-offs </w:t>
      </w:r>
      <w:r w:rsidRPr="00D14B4E">
        <w:rPr>
          <w:rFonts w:cs="Arial"/>
          <w:sz w:val="20"/>
        </w:rPr>
        <w:fldChar w:fldCharType="begin"/>
      </w:r>
      <w:r w:rsidRPr="00D14B4E">
        <w:rPr>
          <w:rFonts w:cs="Arial"/>
          <w:sz w:val="20"/>
        </w:rPr>
        <w:instrText xml:space="preserve"> ADDIN EN.CITE &lt;EndNote&gt;&lt;Cite&gt;&lt;Author&gt;Hill&lt;/Author&gt;&lt;Year&gt;2008&lt;/Year&gt;&lt;RecNum&gt;34&lt;/RecNum&gt;&lt;record&gt;&lt;rec-number&gt;34&lt;/rec-number&gt;&lt;foreign-keys&gt;&lt;key app="EN" db-id="x2atpse2dv5zz4ezef45ssa2vzstpedpzt2p"&gt;34&lt;/key&gt;&lt;/foreign-keys&gt;&lt;ref-type name="Journal Article"&gt;17&lt;/ref-type&gt;&lt;contributors&gt;&lt;authors&gt;&lt;author&gt;Hill, Claire A&lt;/author&gt;&lt;/authors&gt;&lt;/contributors&gt;&lt;titles&gt;&lt;title&gt;The rationality of preference construction (and the irrationality of rational choice)&lt;/title&gt;&lt;secondary-title&gt;Minnesota Journal of Law, Science and Technology&lt;/secondary-title&gt;&lt;/titles&gt;&lt;periodical&gt;&lt;full-title&gt;Minnesota Journal of Law, Science and Technology&lt;/full-title&gt;&lt;/periodical&gt;&lt;pages&gt;689-742&lt;/pages&gt;&lt;volume&gt;9&lt;/volume&gt;&lt;number&gt;2&lt;/number&gt;&lt;dates&gt;&lt;year&gt;2008&lt;/year&gt;&lt;/dates&gt;&lt;urls&gt;&lt;/urls&gt;&lt;/record&gt;&lt;/Cite&gt;&lt;/EndNote&gt;</w:instrText>
      </w:r>
      <w:r w:rsidRPr="00D14B4E">
        <w:rPr>
          <w:rFonts w:cs="Arial"/>
          <w:sz w:val="20"/>
        </w:rPr>
        <w:fldChar w:fldCharType="separate"/>
      </w:r>
      <w:r w:rsidRPr="00D14B4E">
        <w:rPr>
          <w:rFonts w:cs="Arial"/>
          <w:sz w:val="20"/>
        </w:rPr>
        <w:t>(Hill, 2008)</w:t>
      </w:r>
      <w:r w:rsidRPr="00D14B4E">
        <w:rPr>
          <w:rFonts w:cs="Arial"/>
          <w:sz w:val="20"/>
        </w:rPr>
        <w:fldChar w:fldCharType="end"/>
      </w:r>
      <w:r w:rsidRPr="00D14B4E">
        <w:rPr>
          <w:rFonts w:cs="Arial"/>
          <w:sz w:val="20"/>
        </w:rPr>
        <w:t xml:space="preserve">. Time, place and immediate past experience are highly influential </w:t>
      </w:r>
      <w:r w:rsidRPr="00D14B4E">
        <w:rPr>
          <w:rFonts w:cs="Arial"/>
          <w:sz w:val="20"/>
        </w:rPr>
        <w:fldChar w:fldCharType="begin"/>
      </w:r>
      <w:r w:rsidRPr="00D14B4E">
        <w:rPr>
          <w:rFonts w:cs="Arial"/>
          <w:sz w:val="20"/>
        </w:rPr>
        <w:instrText xml:space="preserve"> ADDIN EN.CITE &lt;EndNote&gt;&lt;Cite&gt;&lt;Author&gt;Gowdy&lt;/Author&gt;&lt;Year&gt;2001&lt;/Year&gt;&lt;RecNum&gt;9&lt;/RecNum&gt;&lt;record&gt;&lt;rec-number&gt;9&lt;/rec-number&gt;&lt;foreign-keys&gt;&lt;key app="EN" db-id="x2atpse2dv5zz4ezef45ssa2vzstpedpzt2p"&gt;9&lt;/key&gt;&lt;/foreign-keys&gt;&lt;ref-type name="Journal Article"&gt;17&lt;/ref-type&gt;&lt;contributors&gt;&lt;authors&gt;&lt;author&gt;Gowdy, John M&lt;/author&gt;&lt;author&gt;Mayumi, Kozo&lt;/author&gt;&lt;/authors&gt;&lt;/contributors&gt;&lt;titles&gt;&lt;title&gt;Reformulating the foundations of consumer choice theory and environmental valuation&lt;/title&gt;&lt;secondary-title&gt;Ecological Values&lt;/secondary-title&gt;&lt;/titles&gt;&lt;periodical&gt;&lt;full-title&gt;Ecological Values&lt;/full-title&gt;&lt;/periodical&gt;&lt;pages&gt;223-237&lt;/pages&gt;&lt;volume&gt;39&lt;/volume&gt;&lt;number&gt;2&lt;/number&gt;&lt;dates&gt;&lt;year&gt;2001&lt;/year&gt;&lt;/dates&gt;&lt;urls&gt;&lt;/urls&gt;&lt;/record&gt;&lt;/Cite&gt;&lt;/EndNote&gt;</w:instrText>
      </w:r>
      <w:r w:rsidRPr="00D14B4E">
        <w:rPr>
          <w:rFonts w:cs="Arial"/>
          <w:sz w:val="20"/>
        </w:rPr>
        <w:fldChar w:fldCharType="separate"/>
      </w:r>
      <w:r w:rsidRPr="00D14B4E">
        <w:rPr>
          <w:rFonts w:cs="Arial"/>
          <w:sz w:val="20"/>
        </w:rPr>
        <w:t>(Gowdy and Mayumi, 2001)</w:t>
      </w:r>
      <w:r w:rsidRPr="00D14B4E">
        <w:rPr>
          <w:rFonts w:cs="Arial"/>
          <w:sz w:val="20"/>
        </w:rPr>
        <w:fldChar w:fldCharType="end"/>
      </w:r>
      <w:r w:rsidRPr="00D14B4E">
        <w:rPr>
          <w:rFonts w:cs="Arial"/>
          <w:sz w:val="20"/>
        </w:rPr>
        <w:t xml:space="preserve">, but there is a role for habit, heuristics, inertia and endowments. There is also an input from different types of knowledge, i.e. perceptions, reason, traditional and scientific knowledge. Rather than a simple reliance on a “filing cabinet” </w:t>
      </w:r>
      <w:r w:rsidRPr="00D14B4E">
        <w:rPr>
          <w:rFonts w:cs="Arial"/>
          <w:sz w:val="20"/>
        </w:rPr>
        <w:fldChar w:fldCharType="begin"/>
      </w:r>
      <w:r w:rsidRPr="00D14B4E">
        <w:rPr>
          <w:rFonts w:cs="Arial"/>
          <w:sz w:val="20"/>
        </w:rPr>
        <w:instrText xml:space="preserve"> ADDIN EN.CITE &lt;EndNote&gt;&lt;Cite&gt;&lt;Author&gt;Hanemann&lt;/Author&gt;&lt;Year&gt;1994&lt;/Year&gt;&lt;RecNum&gt;3&lt;/RecNum&gt;&lt;record&gt;&lt;rec-number&gt;3&lt;/rec-number&gt;&lt;foreign-keys&gt;&lt;key app="EN" db-id="5ftdfes98t9e5be95sgx9z2jetzr0sap0asr"&gt;3&lt;/key&gt;&lt;/foreign-keys&gt;&lt;ref-type name="Journal Article"&gt;17&lt;/ref-type&gt;&lt;contributors&gt;&lt;authors&gt;&lt;author&gt;Hanemann, M&lt;/author&gt;&lt;/authors&gt;&lt;/contributors&gt;&lt;titles&gt;&lt;title&gt;Valuing the environment through contingent valuation&lt;/title&gt;&lt;secondary-title&gt;Journal of Environmental Perspectives&lt;/secondary-title&gt;&lt;/titles&gt;&lt;periodical&gt;&lt;full-title&gt;Journal of Environmental Perspectives&lt;/full-title&gt;&lt;/periodical&gt;&lt;volume&gt;8&lt;/volume&gt;&lt;number&gt;19-43&lt;/number&gt;&lt;dates&gt;&lt;year&gt;1994&lt;/year&gt;&lt;/dates&gt;&lt;urls&gt;&lt;/urls&gt;&lt;/record&gt;&lt;/Cite&gt;&lt;/EndNote&gt;</w:instrText>
      </w:r>
      <w:r w:rsidRPr="00D14B4E">
        <w:rPr>
          <w:rFonts w:cs="Arial"/>
          <w:sz w:val="20"/>
        </w:rPr>
        <w:fldChar w:fldCharType="separate"/>
      </w:r>
      <w:r w:rsidRPr="00D14B4E">
        <w:rPr>
          <w:rFonts w:cs="Arial"/>
          <w:sz w:val="20"/>
        </w:rPr>
        <w:t>(Hanemann, 1994)</w:t>
      </w:r>
      <w:r w:rsidRPr="00D14B4E">
        <w:rPr>
          <w:rFonts w:cs="Arial"/>
          <w:sz w:val="20"/>
        </w:rPr>
        <w:fldChar w:fldCharType="end"/>
      </w:r>
      <w:r w:rsidRPr="00D14B4E">
        <w:rPr>
          <w:rFonts w:cs="Arial"/>
          <w:sz w:val="20"/>
        </w:rPr>
        <w:t xml:space="preserve"> of past experience assumed by economists, environmental psychologists tend to favour process-based models of value construction whereby knowledge, values and preferences are context dependent and so subject to change</w:t>
      </w:r>
      <w:r>
        <w:rPr>
          <w:rFonts w:cs="Arial"/>
          <w:sz w:val="20"/>
        </w:rPr>
        <w:t>.</w:t>
      </w:r>
      <w:r w:rsidRPr="00D14B4E">
        <w:rPr>
          <w:rFonts w:cs="Arial"/>
          <w:sz w:val="20"/>
        </w:rPr>
        <w:t xml:space="preserve"> </w:t>
      </w:r>
    </w:p>
    <w:p w:rsidR="003F789A" w:rsidRPr="00D14B4E" w:rsidRDefault="003F789A" w:rsidP="00AD0F4B">
      <w:pPr>
        <w:rPr>
          <w:rFonts w:cs="Arial"/>
          <w:sz w:val="20"/>
        </w:rPr>
      </w:pPr>
      <w:r w:rsidRPr="00D14B4E">
        <w:rPr>
          <w:rFonts w:cs="Arial"/>
          <w:sz w:val="20"/>
        </w:rPr>
        <w:t xml:space="preserve"> </w:t>
      </w:r>
    </w:p>
    <w:p w:rsidR="003F789A" w:rsidRPr="00D14B4E" w:rsidRDefault="003F789A" w:rsidP="00AD0F4B">
      <w:pPr>
        <w:rPr>
          <w:rFonts w:cs="Arial"/>
          <w:sz w:val="20"/>
        </w:rPr>
      </w:pPr>
      <w:r w:rsidRPr="00D14B4E">
        <w:rPr>
          <w:rFonts w:cs="Arial"/>
          <w:sz w:val="20"/>
        </w:rPr>
        <w:t xml:space="preserve">While context provides a dynamic element, social norms and cultural rules can mean that values become anchored to certain inflexible principles or be insensitive to marginal changes in supply and demand </w:t>
      </w:r>
      <w:r w:rsidRPr="00D14B4E">
        <w:rPr>
          <w:rFonts w:cs="Arial"/>
          <w:sz w:val="20"/>
        </w:rPr>
        <w:fldChar w:fldCharType="begin"/>
      </w:r>
      <w:r w:rsidRPr="00D14B4E">
        <w:rPr>
          <w:rFonts w:cs="Arial"/>
          <w:sz w:val="20"/>
        </w:rPr>
        <w:instrText xml:space="preserve"> ADDIN EN.CITE &lt;EndNote&gt;&lt;Cite&gt;&lt;Author&gt;Sagoff&lt;/Author&gt;&lt;Year&gt;2008&lt;/Year&gt;&lt;RecNum&gt;198&lt;/RecNum&gt;&lt;record&gt;&lt;rec-number&gt;198&lt;/rec-number&gt;&lt;foreign-keys&gt;&lt;key app="EN" db-id="e2vf2w0dqe2fp9e00z5xrt55vxxafpp00ves"&gt;198&lt;/key&gt;&lt;key app="ENWeb" db-id="UGwBsgrtqiQAACyuNks"&gt;184&lt;/key&gt;&lt;/foreign-keys&gt;&lt;ref-type name="Journal Article"&gt;17&lt;/ref-type&gt;&lt;contributors&gt;&lt;authors&gt;&lt;author&gt;Sagoff, Mark&lt;/author&gt;&lt;/authors&gt;&lt;/contributors&gt;&lt;titles&gt;&lt;title&gt;On the economic value of ecosystem services&lt;/title&gt;&lt;secondary-title&gt;Environmental Values&lt;/secondary-title&gt;&lt;/titles&gt;&lt;periodical&gt;&lt;full-title&gt;Environmental Values&lt;/full-title&gt;&lt;/periodical&gt;&lt;pages&gt;239-257&lt;/pages&gt;&lt;volume&gt;17&lt;/volume&gt;&lt;number&gt;2&lt;/number&gt;&lt;dates&gt;&lt;year&gt;2008&lt;/year&gt;&lt;/dates&gt;&lt;urls&gt;&lt;/urls&gt;&lt;/record&gt;&lt;/Cite&gt;&lt;/EndNote&gt;</w:instrText>
      </w:r>
      <w:r w:rsidRPr="00D14B4E">
        <w:rPr>
          <w:rFonts w:cs="Arial"/>
          <w:sz w:val="20"/>
        </w:rPr>
        <w:fldChar w:fldCharType="separate"/>
      </w:r>
      <w:r w:rsidRPr="00D14B4E">
        <w:rPr>
          <w:rFonts w:cs="Arial"/>
          <w:sz w:val="20"/>
        </w:rPr>
        <w:t>(Sagoff, 2008)</w:t>
      </w:r>
      <w:r w:rsidRPr="00D14B4E">
        <w:rPr>
          <w:rFonts w:cs="Arial"/>
          <w:sz w:val="20"/>
        </w:rPr>
        <w:fldChar w:fldCharType="end"/>
      </w:r>
      <w:r w:rsidRPr="00D14B4E">
        <w:rPr>
          <w:rFonts w:cs="Arial"/>
          <w:sz w:val="20"/>
        </w:rPr>
        <w:t xml:space="preserve">. This means that people’s freedom to make choices or trade-offs that might maximise their own utility from a material perspective are restricted </w:t>
      </w:r>
      <w:r w:rsidRPr="00D14B4E">
        <w:rPr>
          <w:rFonts w:cs="Arial"/>
          <w:sz w:val="20"/>
        </w:rPr>
        <w:fldChar w:fldCharType="begin"/>
      </w:r>
      <w:r w:rsidRPr="00D14B4E">
        <w:rPr>
          <w:rFonts w:cs="Arial"/>
          <w:sz w:val="20"/>
        </w:rPr>
        <w:instrText xml:space="preserve"> ADDIN EN.CITE &lt;EndNote&gt;&lt;Cite&gt;&lt;Author&gt;Vatn&lt;/Author&gt;&lt;Year&gt;2009&lt;/Year&gt;&lt;RecNum&gt;41&lt;/RecNum&gt;&lt;record&gt;&lt;rec-number&gt;41&lt;/rec-number&gt;&lt;foreign-keys&gt;&lt;key app="EN" db-id="x2atpse2dv5zz4ezef45ssa2vzstpedpzt2p"&gt;41&lt;/key&gt;&lt;/foreign-keys&gt;&lt;ref-type name="Journal Article"&gt;17&lt;/ref-type&gt;&lt;contributors&gt;&lt;authors&gt;&lt;author&gt;Vatn, Arild&lt;/author&gt;&lt;/authors&gt;&lt;/contributors&gt;&lt;titles&gt;&lt;title&gt;An institutional analysis of methods for environmental appraisal&lt;/title&gt;&lt;secondary-title&gt;Ecological Economics&lt;/secondary-title&gt;&lt;/titles&gt;&lt;periodical&gt;&lt;full-title&gt;Ecological Economics&lt;/full-title&gt;&lt;/periodical&gt;&lt;pages&gt;2207-2215&lt;/pages&gt;&lt;volume&gt;58&lt;/volume&gt;&lt;dates&gt;&lt;year&gt;2009&lt;/year&gt;&lt;/dates&gt;&lt;urls&gt;&lt;/urls&gt;&lt;/record&gt;&lt;/Cite&gt;&lt;/EndNote&gt;</w:instrText>
      </w:r>
      <w:r w:rsidRPr="00D14B4E">
        <w:rPr>
          <w:rFonts w:cs="Arial"/>
          <w:sz w:val="20"/>
        </w:rPr>
        <w:fldChar w:fldCharType="separate"/>
      </w:r>
      <w:r w:rsidRPr="00D14B4E">
        <w:rPr>
          <w:rFonts w:cs="Arial"/>
          <w:sz w:val="20"/>
        </w:rPr>
        <w:t>(Vatn, 2009)</w:t>
      </w:r>
      <w:r w:rsidRPr="00D14B4E">
        <w:rPr>
          <w:rFonts w:cs="Arial"/>
          <w:sz w:val="20"/>
        </w:rPr>
        <w:fldChar w:fldCharType="end"/>
      </w:r>
      <w:r w:rsidRPr="00D14B4E">
        <w:rPr>
          <w:rFonts w:cs="Arial"/>
          <w:sz w:val="20"/>
        </w:rPr>
        <w:t xml:space="preserve">. Rather than commensurability, these situations are characterised by non-compensatory behaviour. An example of this is provided by the paper of Scholte et al in this deliverable of environmental compensation in Scotland. If successful outcomes are to be found, these may require compromise rather than a logical trade-offs based on expression of free choice </w:t>
      </w:r>
      <w:r w:rsidRPr="00D14B4E">
        <w:rPr>
          <w:rFonts w:cs="Arial"/>
          <w:sz w:val="20"/>
        </w:rPr>
        <w:fldChar w:fldCharType="begin"/>
      </w:r>
      <w:r w:rsidRPr="00D14B4E">
        <w:rPr>
          <w:rFonts w:cs="Arial"/>
          <w:sz w:val="20"/>
        </w:rPr>
        <w:instrText xml:space="preserve"> ADDIN EN.CITE &lt;EndNote&gt;&lt;Cite&gt;&lt;Author&gt;Sen&lt;/Author&gt;&lt;Year&gt;1973&lt;/Year&gt;&lt;RecNum&gt;848&lt;/RecNum&gt;&lt;record&gt;&lt;rec-number&gt;848&lt;/rec-number&gt;&lt;foreign-keys&gt;&lt;key app="EN" db-id="tvv99x9e6r0ds7edxa8p0decevvx5dwrprpa"&gt;848&lt;/key&gt;&lt;/foreign-keys&gt;&lt;ref-type name="Journal Article"&gt;17&lt;/ref-type&gt;&lt;contributors&gt;&lt;authors&gt;&lt;author&gt;Sen, A.K&lt;/author&gt;&lt;/authors&gt;&lt;/contributors&gt;&lt;titles&gt;&lt;title&gt;Behaviour and the concept of preference&lt;/title&gt;&lt;secondary-title&gt;Economica&lt;/secondary-title&gt;&lt;/titles&gt;&lt;periodical&gt;&lt;full-title&gt;Economica&lt;/full-title&gt;&lt;/periodical&gt;&lt;pages&gt;241-259&lt;/pages&gt;&lt;volume&gt;40&lt;/volume&gt;&lt;number&gt;159&lt;/number&gt;&lt;dates&gt;&lt;year&gt;1973&lt;/year&gt;&lt;/dates&gt;&lt;urls&gt;&lt;/urls&gt;&lt;/record&gt;&lt;/Cite&gt;&lt;/EndNote&gt;</w:instrText>
      </w:r>
      <w:r w:rsidRPr="00D14B4E">
        <w:rPr>
          <w:rFonts w:cs="Arial"/>
          <w:sz w:val="20"/>
        </w:rPr>
        <w:fldChar w:fldCharType="separate"/>
      </w:r>
      <w:r w:rsidRPr="00D14B4E">
        <w:rPr>
          <w:rFonts w:cs="Arial"/>
          <w:sz w:val="20"/>
        </w:rPr>
        <w:t>(Sen, 1973)</w:t>
      </w:r>
      <w:r w:rsidRPr="00D14B4E">
        <w:rPr>
          <w:rFonts w:cs="Arial"/>
          <w:sz w:val="20"/>
        </w:rPr>
        <w:fldChar w:fldCharType="end"/>
      </w:r>
      <w:r w:rsidRPr="00D14B4E">
        <w:rPr>
          <w:rFonts w:cs="Arial"/>
          <w:sz w:val="20"/>
        </w:rPr>
        <w:t>. However, as well as being scale and context dependent, values are also time dependent. Change may be slow in the face of established principles, but just as cultural norms can evolve over time, so too do socio-cultural values evolve in response to the wider social and cultural environment.</w:t>
      </w:r>
    </w:p>
    <w:p w:rsidR="003F789A" w:rsidRPr="00D14B4E" w:rsidRDefault="003F789A" w:rsidP="00AD0F4B">
      <w:pPr>
        <w:rPr>
          <w:rFonts w:cs="Arial"/>
          <w:sz w:val="20"/>
        </w:rPr>
      </w:pPr>
    </w:p>
    <w:p w:rsidR="003F789A" w:rsidRPr="00D14B4E" w:rsidRDefault="003F789A" w:rsidP="0032165B">
      <w:pPr>
        <w:pStyle w:val="Heading3"/>
        <w:numPr>
          <w:ilvl w:val="2"/>
          <w:numId w:val="31"/>
        </w:numPr>
        <w:ind w:left="851" w:hanging="851"/>
      </w:pPr>
      <w:bookmarkStart w:id="25" w:name="_Toc436757136"/>
      <w:bookmarkStart w:id="26" w:name="_Toc436758075"/>
      <w:bookmarkStart w:id="27" w:name="_Toc436915599"/>
      <w:bookmarkStart w:id="28" w:name="_Toc436916040"/>
      <w:r w:rsidRPr="00D14B4E">
        <w:t>Held values and principles</w:t>
      </w:r>
      <w:bookmarkEnd w:id="25"/>
      <w:bookmarkEnd w:id="26"/>
      <w:bookmarkEnd w:id="27"/>
      <w:bookmarkEnd w:id="28"/>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Held values are the foundations of beliefs or conceptions of what is considered desirable or important </w:t>
      </w:r>
      <w:r w:rsidRPr="00D14B4E">
        <w:rPr>
          <w:rFonts w:cs="Arial"/>
          <w:sz w:val="20"/>
        </w:rPr>
        <w:fldChar w:fldCharType="begin"/>
      </w:r>
      <w:r w:rsidRPr="00D14B4E">
        <w:rPr>
          <w:rFonts w:cs="Arial"/>
          <w:sz w:val="20"/>
        </w:rPr>
        <w:instrText xml:space="preserve"> ADDIN EN.CITE &lt;EndNote&gt;&lt;Cite&gt;&lt;Author&gt;Scholte&lt;/Author&gt;&lt;Year&gt;2014&lt;/Year&gt;&lt;RecNum&gt;37&lt;/RecNum&gt;&lt;record&gt;&lt;rec-number&gt;37&lt;/rec-number&gt;&lt;foreign-keys&gt;&lt;key app="EN" db-id="x2atpse2dv5zz4ezef45ssa2vzstpedpzt2p"&gt;37&lt;/key&gt;&lt;/foreign-keys&gt;&lt;ref-type name="Journal Article"&gt;17&lt;/ref-type&gt;&lt;contributors&gt;&lt;authors&gt;&lt;author&gt;Scholte, Samantha S.K&lt;/author&gt;&lt;author&gt;van Teeffelen, Astrid J.A van&lt;/author&gt;&lt;author&gt;Verburg, Peter H&lt;/author&gt;&lt;/authors&gt;&lt;/contributors&gt;&lt;titles&gt;&lt;title&gt;Integrating socio-cultural perspectives into ecosystem service valuation: a review of concepts and methodologies&lt;/title&gt;&lt;secondary-title&gt;Ecological Economics&lt;/secondary-title&gt;&lt;/titles&gt;&lt;periodical&gt;&lt;full-title&gt;Ecological Economics&lt;/full-title&gt;&lt;/periodical&gt;&lt;volume&gt;draft&lt;/volume&gt;&lt;dates&gt;&lt;year&gt;2014&lt;/year&gt;&lt;/dates&gt;&lt;urls&gt;&lt;/urls&gt;&lt;/record&gt;&lt;/Cite&gt;&lt;Cite&gt;&lt;Author&gt;Lockwood&lt;/Author&gt;&lt;Year&gt;1999&lt;/Year&gt;&lt;RecNum&gt;60&lt;/RecNum&gt;&lt;record&gt;&lt;rec-number&gt;60&lt;/rec-number&gt;&lt;foreign-keys&gt;&lt;key app="EN" db-id="5ftdfes98t9e5be95sgx9z2jetzr0sap0asr"&gt;60&lt;/key&gt;&lt;/foreign-keys&gt;&lt;ref-type name="Journal Article"&gt;17&lt;/ref-type&gt;&lt;contributors&gt;&lt;authors&gt;&lt;author&gt;Lockwood, M&lt;/author&gt;&lt;/authors&gt;&lt;/contributors&gt;&lt;titles&gt;&lt;title&gt;Humans valuing nature: Synthesising insights from philiosophy, psychology and economics&lt;/title&gt;&lt;secondary-title&gt;Environmental Values &lt;/secondary-title&gt;&lt;/titles&gt;&lt;periodical&gt;&lt;full-title&gt;Environmental Values&lt;/full-title&gt;&lt;/periodical&gt;&lt;pages&gt;381-401&lt;/pages&gt;&lt;volume&gt;8&lt;/volume&gt;&lt;dates&gt;&lt;year&gt;1999&lt;/year&gt;&lt;/dates&gt;&lt;urls&gt;&lt;/urls&gt;&lt;electronic-resource-num&gt;10.3197/096327199129341888&lt;/electronic-resource-num&gt;&lt;/record&gt;&lt;/Cite&gt;&lt;/EndNote&gt;</w:instrText>
      </w:r>
      <w:r w:rsidRPr="00D14B4E">
        <w:rPr>
          <w:rFonts w:cs="Arial"/>
          <w:sz w:val="20"/>
        </w:rPr>
        <w:fldChar w:fldCharType="separate"/>
      </w:r>
      <w:r w:rsidRPr="00D14B4E">
        <w:rPr>
          <w:rFonts w:cs="Arial"/>
          <w:sz w:val="20"/>
        </w:rPr>
        <w:t>(Lockwood, 1999; Scholte et al., 2014)</w:t>
      </w:r>
      <w:r w:rsidRPr="00D14B4E">
        <w:rPr>
          <w:rFonts w:cs="Arial"/>
          <w:sz w:val="20"/>
        </w:rPr>
        <w:fldChar w:fldCharType="end"/>
      </w:r>
      <w:r w:rsidRPr="00D14B4E">
        <w:rPr>
          <w:rFonts w:cs="Arial"/>
          <w:sz w:val="20"/>
        </w:rPr>
        <w:t xml:space="preserve">. These values are forged by the culture to which we belong and almost inevitably become internalised to a person’s own value system and identity </w:t>
      </w:r>
      <w:r w:rsidRPr="00D14B4E">
        <w:rPr>
          <w:rFonts w:cs="Arial"/>
          <w:sz w:val="20"/>
        </w:rPr>
        <w:fldChar w:fldCharType="begin"/>
      </w:r>
      <w:r w:rsidRPr="00D14B4E">
        <w:rPr>
          <w:rFonts w:cs="Arial"/>
          <w:sz w:val="20"/>
        </w:rPr>
        <w:instrText xml:space="preserve"> ADDIN EN.CITE &lt;EndNote&gt;&lt;Cite&gt;&lt;Author&gt;Kumar&lt;/Author&gt;&lt;Year&gt;2008&lt;/Year&gt;&lt;RecNum&gt;13&lt;/RecNum&gt;&lt;record&gt;&lt;rec-number&gt;13&lt;/rec-number&gt;&lt;foreign-keys&gt;&lt;key app='EN' db-id='x2atpse2dv5zz4ezef45ssa2vzstpedpzt2p'&gt;13&lt;/key&gt;&lt;/foreign-keys&gt;&lt;ref-type name='Journal Article'&gt;17&lt;/ref-type&gt;&lt;contributors&gt;&lt;authors&gt;&lt;author&gt;Kumar, Manasi&lt;/author&gt;&lt;author&gt;Kumar, Pushpan&lt;/author&gt;&lt;/authors&gt;&lt;/contributors&gt;&lt;titles&gt;&lt;title&gt;Valuation of the ecosystem services: A psycho-cultural perspective&lt;/title&gt;&lt;secondary-title&gt;Ecological Economics&lt;/secondary-title&gt;&lt;/titles&gt;&lt;periodical&gt;&lt;full-title&gt;Ecological Economics&lt;/full-title&gt;&lt;/periodical&gt;&lt;volume&gt;64&lt;/volume&gt;&lt;number&gt;808-819&lt;/number&gt;&lt;dates&gt;&lt;year&gt;2008&lt;/year&gt;&lt;/dates&gt;&lt;urls&gt;&lt;/urls&gt;&lt;/record&gt;&lt;/Cite&gt;&lt;Cite ExcludeAuth="1"&gt;&lt;Author&gt;Thrift&lt;/Author&gt;&lt;Year&gt;2004&lt;/Year&gt;&lt;RecNum&gt;76&lt;/RecNum&gt;&lt;record&gt;&lt;rec-number&gt;76&lt;/rec-number&gt;&lt;foreign-keys&gt;&lt;key app="EN" db-id="x2atpse2dv5zz4ezef45ssa2vzstpedpzt2p"&gt;76&lt;/key&gt;&lt;/foreign-keys&gt;&lt;ref-type name="Book"&gt;6&lt;/ref-type&gt;&lt;contributors&gt;&lt;authors&gt;&lt;author&gt;Thrift, N&lt;/author&gt;&lt;author&gt;Whatmore, S&lt;/author&gt;&lt;/authors&gt;&lt;/contributors&gt;&lt;titles&gt;&lt;title&gt;Cultural Geography: Critical Concepts in the Social Sciences&lt;/title&gt;&lt;/titles&gt;&lt;dates&gt;&lt;year&gt;2004&lt;/year&gt;&lt;/dates&gt;&lt;pub-location&gt;London and New York&lt;/pub-location&gt;&lt;publisher&gt;Routledge&lt;/publisher&gt;&lt;urls&gt;&lt;/urls&gt;&lt;/record&gt;&lt;/Cite&gt;&lt;/EndNote&gt;</w:instrText>
      </w:r>
      <w:r w:rsidRPr="00D14B4E">
        <w:rPr>
          <w:rFonts w:cs="Arial"/>
          <w:sz w:val="20"/>
        </w:rPr>
        <w:fldChar w:fldCharType="separate"/>
      </w:r>
      <w:r w:rsidRPr="00D14B4E">
        <w:rPr>
          <w:rFonts w:cs="Arial"/>
          <w:sz w:val="20"/>
        </w:rPr>
        <w:t xml:space="preserve">(Kumar and </w:t>
      </w:r>
      <w:r w:rsidRPr="00D14B4E">
        <w:rPr>
          <w:rFonts w:cs="Arial"/>
          <w:sz w:val="20"/>
        </w:rPr>
        <w:lastRenderedPageBreak/>
        <w:t>Kumar, 2008; 2004)</w:t>
      </w:r>
      <w:r w:rsidRPr="00D14B4E">
        <w:rPr>
          <w:rFonts w:cs="Arial"/>
          <w:sz w:val="20"/>
        </w:rPr>
        <w:fldChar w:fldCharType="end"/>
      </w:r>
      <w:r w:rsidRPr="00D14B4E">
        <w:rPr>
          <w:rFonts w:cs="Arial"/>
          <w:sz w:val="20"/>
        </w:rPr>
        <w:t xml:space="preserve">. Of these, </w:t>
      </w:r>
      <w:proofErr w:type="spellStart"/>
      <w:r w:rsidRPr="00D14B4E">
        <w:rPr>
          <w:rFonts w:cs="Arial"/>
          <w:sz w:val="20"/>
        </w:rPr>
        <w:t>eudaimonistic</w:t>
      </w:r>
      <w:proofErr w:type="spellEnd"/>
      <w:r w:rsidRPr="00D14B4E">
        <w:rPr>
          <w:rFonts w:cs="Arial"/>
          <w:sz w:val="20"/>
        </w:rPr>
        <w:t xml:space="preserve"> values are relevant to a person’s interpretation of what represents the “good life” </w:t>
      </w:r>
      <w:r w:rsidRPr="00D14B4E">
        <w:rPr>
          <w:rFonts w:cs="Arial"/>
          <w:sz w:val="20"/>
        </w:rPr>
        <w:fldChar w:fldCharType="begin"/>
      </w:r>
      <w:r w:rsidRPr="00D14B4E">
        <w:rPr>
          <w:rFonts w:cs="Arial"/>
          <w:sz w:val="20"/>
        </w:rPr>
        <w:instrText xml:space="preserve"> ADDIN EN.CITE &lt;EndNote&gt;&lt;Cite&gt;&lt;Author&gt;Jax&lt;/Author&gt;&lt;Year&gt;2013&lt;/Year&gt;&lt;RecNum&gt;42&lt;/RecNum&gt;&lt;record&gt;&lt;rec-number&gt;42&lt;/rec-number&gt;&lt;foreign-keys&gt;&lt;key app="EN" db-id="x2atpse2dv5zz4ezef45ssa2vzstpedpzt2p"&gt;42&lt;/key&gt;&lt;/foreign-keys&gt;&lt;ref-type name="Journal Article"&gt;17&lt;/ref-type&gt;&lt;contributors&gt;&lt;authors&gt;&lt;author&gt;Jax, Kurt et al&lt;/author&gt;&lt;/authors&gt;&lt;/contributors&gt;&lt;titles&gt;&lt;title&gt;Ecosystem services and ethics&lt;/title&gt;&lt;secondary-title&gt;Ecological Economics&lt;/secondary-title&gt;&lt;/titles&gt;&lt;periodical&gt;&lt;full-title&gt;Ecological Economics&lt;/full-title&gt;&lt;/periodical&gt;&lt;pages&gt;260-268&lt;/pages&gt;&lt;volume&gt;93&lt;/volume&gt;&lt;dates&gt;&lt;year&gt;2013&lt;/year&gt;&lt;/dates&gt;&lt;urls&gt;&lt;/urls&gt;&lt;research-notes&gt;Much discussion of plural values, introducing ethical concepts including fundamental and eudaimonistic values.&lt;/research-notes&gt;&lt;/record&gt;&lt;/Cite&gt;&lt;/EndNote&gt;</w:instrText>
      </w:r>
      <w:r w:rsidRPr="00D14B4E">
        <w:rPr>
          <w:rFonts w:cs="Arial"/>
          <w:sz w:val="20"/>
        </w:rPr>
        <w:fldChar w:fldCharType="separate"/>
      </w:r>
      <w:r w:rsidRPr="00D14B4E">
        <w:rPr>
          <w:rFonts w:cs="Arial"/>
          <w:sz w:val="20"/>
        </w:rPr>
        <w:t>(Jax, 2013)</w:t>
      </w:r>
      <w:r w:rsidRPr="00D14B4E">
        <w:rPr>
          <w:rFonts w:cs="Arial"/>
          <w:sz w:val="20"/>
        </w:rPr>
        <w:fldChar w:fldCharType="end"/>
      </w:r>
      <w:r w:rsidRPr="00D14B4E">
        <w:rPr>
          <w:rFonts w:cs="Arial"/>
          <w:sz w:val="20"/>
        </w:rPr>
        <w:t xml:space="preserve">.. Nature almost always has a relevance to cultures’ interpretation of what contributes to the good life </w:t>
      </w:r>
      <w:r w:rsidRPr="00D14B4E">
        <w:rPr>
          <w:rFonts w:cs="Arial"/>
          <w:sz w:val="20"/>
        </w:rPr>
        <w:fldChar w:fldCharType="begin"/>
      </w:r>
      <w:r w:rsidRPr="00D14B4E">
        <w:rPr>
          <w:rFonts w:cs="Arial"/>
          <w:sz w:val="20"/>
        </w:rPr>
        <w:instrText xml:space="preserve"> ADDIN EN.CITE &lt;EndNote&gt;&lt;Cite&gt;&lt;Author&gt;Church&lt;/Author&gt;&lt;Year&gt;2011&lt;/Year&gt;&lt;RecNum&gt;10&lt;/RecNum&gt;&lt;record&gt;&lt;rec-number&gt;10&lt;/rec-number&gt;&lt;foreign-keys&gt;&lt;key app="EN" db-id="x2atpse2dv5zz4ezef45ssa2vzstpedpzt2p"&gt;10&lt;/key&gt;&lt;/foreign-keys&gt;&lt;ref-type name="Edited Book"&gt;28&lt;/ref-type&gt;&lt;contributors&gt;&lt;authors&gt;&lt;author&gt;Church, Andrew&lt;/author&gt;&lt;author&gt;Burgess, Jacqueline&lt;/author&gt;&lt;author&gt;Ravenscroft, Neill&lt;/author&gt;&lt;/authors&gt;&lt;/contributors&gt;&lt;titles&gt;&lt;title&gt;Cultural Ecosystem Services&lt;/title&gt;&lt;secondary-title&gt;UK National Ecosystem Assessment (UK NEA)&lt;/secondary-title&gt;&lt;/titles&gt;&lt;dates&gt;&lt;year&gt;2011&lt;/year&gt;&lt;/dates&gt;&lt;urls&gt;&lt;/urls&gt;&lt;/record&gt;&lt;/Cite&gt;&lt;/EndNote&gt;</w:instrText>
      </w:r>
      <w:r w:rsidRPr="00D14B4E">
        <w:rPr>
          <w:rFonts w:cs="Arial"/>
          <w:sz w:val="20"/>
        </w:rPr>
        <w:fldChar w:fldCharType="separate"/>
      </w:r>
      <w:r w:rsidRPr="00D14B4E">
        <w:rPr>
          <w:rFonts w:cs="Arial"/>
          <w:sz w:val="20"/>
        </w:rPr>
        <w:t>(Church et al., 2011)</w:t>
      </w:r>
      <w:r w:rsidRPr="00D14B4E">
        <w:rPr>
          <w:rFonts w:cs="Arial"/>
          <w:sz w:val="20"/>
        </w:rPr>
        <w:fldChar w:fldCharType="end"/>
      </w:r>
      <w:r w:rsidRPr="00D14B4E">
        <w:rPr>
          <w:rFonts w:cs="Arial"/>
          <w:sz w:val="20"/>
        </w:rPr>
        <w:t xml:space="preserve">.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Ethical values are another form of held values. Ethical values are informed by deontological principles which guide people as to what is right or wrong </w:t>
      </w:r>
      <w:r w:rsidRPr="00D14B4E">
        <w:rPr>
          <w:rFonts w:cs="Arial"/>
          <w:sz w:val="20"/>
        </w:rPr>
        <w:fldChar w:fldCharType="begin"/>
      </w:r>
      <w:r w:rsidRPr="00D14B4E">
        <w:rPr>
          <w:rFonts w:cs="Arial"/>
          <w:sz w:val="20"/>
        </w:rPr>
        <w:instrText xml:space="preserve"> ADDIN EN.CITE &lt;EndNote&gt;&lt;Cite&gt;&lt;Author&gt;Berger&lt;/Author&gt;&lt;Year&gt;1967&lt;/Year&gt;&lt;RecNum&gt;66&lt;/RecNum&gt;&lt;record&gt;&lt;rec-number&gt;66&lt;/rec-number&gt;&lt;foreign-keys&gt;&lt;key app="EN" db-id="x2atpse2dv5zz4ezef45ssa2vzstpedpzt2p"&gt;66&lt;/key&gt;&lt;/foreign-keys&gt;&lt;ref-type name="Book"&gt;6&lt;/ref-type&gt;&lt;contributors&gt;&lt;authors&gt;&lt;author&gt;Berger, P&lt;/author&gt;&lt;author&gt;Luckmann, T&lt;/author&gt;&lt;/authors&gt;&lt;/contributors&gt;&lt;titles&gt;&lt;title&gt;The Social Construction of Reality. A Treatise in the Sociology of Knowledge&lt;/title&gt;&lt;/titles&gt;&lt;dates&gt;&lt;year&gt;1967&lt;/year&gt;&lt;/dates&gt;&lt;pub-location&gt;London&lt;/pub-location&gt;&lt;publisher&gt;Penguin Books&lt;/publisher&gt;&lt;urls&gt;&lt;/urls&gt;&lt;/record&gt;&lt;/Cite&gt;&lt;/EndNote&gt;</w:instrText>
      </w:r>
      <w:r w:rsidRPr="00D14B4E">
        <w:rPr>
          <w:rFonts w:cs="Arial"/>
          <w:sz w:val="20"/>
        </w:rPr>
        <w:fldChar w:fldCharType="separate"/>
      </w:r>
      <w:r w:rsidRPr="00D14B4E">
        <w:rPr>
          <w:rFonts w:cs="Arial"/>
          <w:sz w:val="20"/>
        </w:rPr>
        <w:t>(Berger and Luckmann, 1967)</w:t>
      </w:r>
      <w:r w:rsidRPr="00D14B4E">
        <w:rPr>
          <w:rFonts w:cs="Arial"/>
          <w:sz w:val="20"/>
        </w:rPr>
        <w:fldChar w:fldCharType="end"/>
      </w:r>
      <w:r w:rsidRPr="00D14B4E">
        <w:rPr>
          <w:rFonts w:cs="Arial"/>
          <w:sz w:val="20"/>
        </w:rPr>
        <w:t xml:space="preserve">,. These principles are in turn, typically a product of the cultural context. By definition, these necessarily take into account the needs and rights of others or other entities. Although, in principle, economic typologies of  value, i.e. total economic value (see Deliverable 3.4), take into account vicarious or altruistic values, it is hard to see how ethical values can entirely coexist with personal utility motivations. Utility and ethics are often at odds.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Often, the management of resources has evolved to consider the needs or preferences of others or of the wider community. Such decisions are characterised by social rather than individual rationality. They can encompass altruistic concerns or a sense of citizenship as well as a sense of responsibility for future generations </w:t>
      </w:r>
      <w:r w:rsidRPr="00D14B4E">
        <w:rPr>
          <w:rFonts w:cs="Arial"/>
          <w:sz w:val="20"/>
        </w:rPr>
        <w:fldChar w:fldCharType="begin"/>
      </w:r>
      <w:r w:rsidRPr="00D14B4E">
        <w:rPr>
          <w:rFonts w:cs="Arial"/>
          <w:sz w:val="20"/>
        </w:rPr>
        <w:instrText xml:space="preserve"> ADDIN EN.CITE &lt;EndNote&gt;&lt;Cite&gt;&lt;Author&gt;Wilson&lt;/Author&gt;&lt;Year&gt;2002&lt;/Year&gt;&lt;RecNum&gt;4&lt;/RecNum&gt;&lt;record&gt;&lt;rec-number&gt;4&lt;/rec-number&gt;&lt;foreign-keys&gt;&lt;key app="EN" db-id="x2atpse2dv5zz4ezef45ssa2vzstpedpzt2p"&gt;4&lt;/key&gt;&lt;/foreign-keys&gt;&lt;ref-type name="Journal Article"&gt;17&lt;/ref-type&gt;&lt;contributors&gt;&lt;authors&gt;&lt;author&gt;Wilson, Matthew A&lt;/author&gt;&lt;author&gt;Howarth, Richard B&lt;/author&gt;&lt;/authors&gt;&lt;/contributors&gt;&lt;titles&gt;&lt;title&gt;Discourse-based valuation of ecosystem services: establishing fair outcomes through group deliberation&lt;/title&gt;&lt;secondary-title&gt;Ecological Economics&lt;/secondary-title&gt;&lt;/titles&gt;&lt;periodical&gt;&lt;full-title&gt;Ecological Economics&lt;/full-title&gt;&lt;/periodical&gt;&lt;pages&gt;431-443&lt;/pages&gt;&lt;volume&gt;41&lt;/volume&gt;&lt;dates&gt;&lt;year&gt;2002&lt;/year&gt;&lt;/dates&gt;&lt;urls&gt;&lt;/urls&gt;&lt;research-notes&gt;&lt;style face="normal" font="Times New Roman" size="100%"&gt;Discuss the advantages of deliberative methdos over economic approaches based on individual utility maximisation. They suggest how deliberative methods can also be used to obtain monetary values. Although useful for comparison, I&amp;apos;m not sure values from small groups have legitimacy.&lt;/style&gt;&lt;/research-notes&gt;&lt;/record&gt;&lt;/Cite&gt;&lt;Cite&gt;&lt;Author&gt;Sagoff&lt;/Author&gt;&lt;Year&gt;1988&lt;/Year&gt;&lt;RecNum&gt;25&lt;/RecNum&gt;&lt;record&gt;&lt;rec-number&gt;25&lt;/rec-number&gt;&lt;foreign-keys&gt;&lt;key app="EN" db-id="x2atpse2dv5zz4ezef45ssa2vzstpedpzt2p"&gt;25&lt;/key&gt;&lt;/foreign-keys&gt;&lt;ref-type name="Book"&gt;6&lt;/ref-type&gt;&lt;contributors&gt;&lt;authors&gt;&lt;author&gt;Sagoff, Mark&lt;/author&gt;&lt;/authors&gt;&lt;/contributors&gt;&lt;titles&gt;&lt;title&gt;The Economy of the Earth: Philosophy, Law and the Environment&lt;/title&gt;&lt;/titles&gt;&lt;dates&gt;&lt;year&gt;1988&lt;/year&gt;&lt;/dates&gt;&lt;pub-location&gt;Cambridge&lt;/pub-location&gt;&lt;publisher&gt;Cambridge University Press&lt;/publisher&gt;&lt;urls&gt;&lt;/urls&gt;&lt;/record&gt;&lt;/Cite&gt;&lt;/EndNote&gt;</w:instrText>
      </w:r>
      <w:r w:rsidRPr="00D14B4E">
        <w:rPr>
          <w:rFonts w:cs="Arial"/>
          <w:sz w:val="20"/>
        </w:rPr>
        <w:fldChar w:fldCharType="separate"/>
      </w:r>
      <w:r w:rsidRPr="00D14B4E">
        <w:rPr>
          <w:rFonts w:cs="Arial"/>
          <w:sz w:val="20"/>
        </w:rPr>
        <w:t>(Sagoff, 1988; Wilson and Howarth, 2002)</w:t>
      </w:r>
      <w:r w:rsidRPr="00D14B4E">
        <w:rPr>
          <w:rFonts w:cs="Arial"/>
          <w:sz w:val="20"/>
        </w:rPr>
        <w:fldChar w:fldCharType="end"/>
      </w:r>
      <w:r w:rsidRPr="00D14B4E">
        <w:rPr>
          <w:rFonts w:cs="Arial"/>
          <w:sz w:val="20"/>
        </w:rPr>
        <w:t xml:space="preserve">.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At a local level, much decision-making is informed by an awareness of shared dependence and reciprocity. Ethical or social considerations are especially likely to be associated with public goods where there shared dependence on provisioning, regulating or cultural services. In these circumstances, the benefits and costs of use are not divisible to the individual. Furthermore, access or use of public goods is often managed by the community using common property institutions or with reference to social-ecological rules and customs that have evolved over a long time. Relational values, i.e. where based on reciprocal arrangements </w:t>
      </w:r>
      <w:r w:rsidRPr="00D14B4E">
        <w:rPr>
          <w:rFonts w:cs="Arial"/>
          <w:sz w:val="20"/>
        </w:rPr>
        <w:fldChar w:fldCharType="begin"/>
      </w:r>
      <w:r w:rsidRPr="00D14B4E">
        <w:rPr>
          <w:rFonts w:cs="Arial"/>
          <w:sz w:val="20"/>
        </w:rPr>
        <w:instrText xml:space="preserve"> ADDIN EN.CITE &lt;EndNote&gt;&lt;Cite&gt;&lt;Author&gt;Kumar&lt;/Author&gt;&lt;Year&gt;2008&lt;/Year&gt;&lt;RecNum&gt;13&lt;/RecNum&gt;&lt;record&gt;&lt;rec-number&gt;13&lt;/rec-number&gt;&lt;foreign-keys&gt;&lt;key app="EN" db-id="x2atpse2dv5zz4ezef45ssa2vzstpedpzt2p"&gt;13&lt;/key&gt;&lt;/foreign-keys&gt;&lt;ref-type name="Journal Article"&gt;17&lt;/ref-type&gt;&lt;contributors&gt;&lt;authors&gt;&lt;author&gt;Kumar, Manasi&lt;/author&gt;&lt;author&gt;Kumar, Pushpan&lt;/author&gt;&lt;/authors&gt;&lt;/contributors&gt;&lt;titles&gt;&lt;title&gt;Valuation of the ecosystem services: A psycho-cultural perspective&lt;/title&gt;&lt;secondary-title&gt;Ecological Economics&lt;/secondary-title&gt;&lt;/titles&gt;&lt;periodical&gt;&lt;full-title&gt;Ecological Economics&lt;/full-title&gt;&lt;/periodical&gt;&lt;volume&gt;64&lt;/volume&gt;&lt;number&gt;808-819&lt;/number&gt;&lt;dates&gt;&lt;year&gt;2008&lt;/year&gt;&lt;/dates&gt;&lt;urls&gt;&lt;/urls&gt;&lt;/record&gt;&lt;/Cite&gt;&lt;/EndNote&gt;</w:instrText>
      </w:r>
      <w:r w:rsidRPr="00D14B4E">
        <w:rPr>
          <w:rFonts w:cs="Arial"/>
          <w:sz w:val="20"/>
        </w:rPr>
        <w:fldChar w:fldCharType="separate"/>
      </w:r>
      <w:r w:rsidRPr="00D14B4E">
        <w:rPr>
          <w:rFonts w:cs="Arial"/>
          <w:sz w:val="20"/>
        </w:rPr>
        <w:t>(Kumar and Kumar, 2008)</w:t>
      </w:r>
      <w:r w:rsidRPr="00D14B4E">
        <w:rPr>
          <w:rFonts w:cs="Arial"/>
          <w:sz w:val="20"/>
        </w:rPr>
        <w:fldChar w:fldCharType="end"/>
      </w:r>
      <w:r w:rsidRPr="00D14B4E">
        <w:rPr>
          <w:rFonts w:cs="Arial"/>
          <w:sz w:val="20"/>
        </w:rPr>
        <w:t xml:space="preserve">, are frequently present and can form the bedrock of social capital. </w:t>
      </w:r>
    </w:p>
    <w:p w:rsidR="003F789A" w:rsidRPr="00211E5C" w:rsidRDefault="003F789A" w:rsidP="00211E5C">
      <w:pPr>
        <w:pStyle w:val="Heading3"/>
        <w:numPr>
          <w:ilvl w:val="0"/>
          <w:numId w:val="0"/>
        </w:numPr>
        <w:ind w:left="851"/>
      </w:pPr>
    </w:p>
    <w:p w:rsidR="003F789A" w:rsidRPr="00211E5C" w:rsidRDefault="003F789A" w:rsidP="0032165B">
      <w:pPr>
        <w:pStyle w:val="Heading3"/>
        <w:numPr>
          <w:ilvl w:val="2"/>
          <w:numId w:val="31"/>
        </w:numPr>
        <w:ind w:left="851" w:hanging="851"/>
      </w:pPr>
      <w:bookmarkStart w:id="29" w:name="_Toc436757137"/>
      <w:bookmarkStart w:id="30" w:name="_Toc436758076"/>
      <w:bookmarkStart w:id="31" w:name="_Toc436915600"/>
      <w:bookmarkStart w:id="32" w:name="_Toc436916041"/>
      <w:r w:rsidRPr="00211E5C">
        <w:t>Social-ecological values</w:t>
      </w:r>
      <w:bookmarkEnd w:id="29"/>
      <w:bookmarkEnd w:id="30"/>
      <w:bookmarkEnd w:id="31"/>
      <w:bookmarkEnd w:id="32"/>
      <w:r w:rsidRPr="00211E5C">
        <w:t xml:space="preserve">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Arguably, anthropocentric values are based on people’s inevitably limited understanding of the ecosystem and can be overly focused on certain broadly familiar species or functions that produce overtly desirable outcomes </w:t>
      </w:r>
      <w:r w:rsidRPr="00D14B4E">
        <w:rPr>
          <w:rFonts w:cs="Arial"/>
          <w:sz w:val="20"/>
        </w:rPr>
        <w:fldChar w:fldCharType="begin"/>
      </w:r>
      <w:r w:rsidRPr="00D14B4E">
        <w:rPr>
          <w:rFonts w:cs="Arial"/>
          <w:sz w:val="20"/>
        </w:rPr>
        <w:instrText xml:space="preserve"> ADDIN EN.CITE &lt;EndNote&gt;&lt;Cite&gt;&lt;Author&gt;Winkler&lt;/Author&gt;&lt;Year&gt;2006&lt;/Year&gt;&lt;RecNum&gt;219&lt;/RecNum&gt;&lt;record&gt;&lt;rec-number&gt;219&lt;/rec-number&gt;&lt;foreign-keys&gt;&lt;key app="EN" db-id="e2vf2w0dqe2fp9e00z5xrt55vxxafpp00ves"&gt;219&lt;/key&gt;&lt;key app="ENWeb" db-id="UGwBsgrtqiQAACyuNks"&gt;204&lt;/key&gt;&lt;/foreign-keys&gt;&lt;ref-type name="Journal Article"&gt;17&lt;/ref-type&gt;&lt;contributors&gt;&lt;authors&gt;&lt;author&gt;Winkler, R&lt;/author&gt;&lt;/authors&gt;&lt;/contributors&gt;&lt;titles&gt;&lt;title&gt;Valuation of ecosystem goods and services: Part 1: An integrated dynamic approach&lt;/title&gt;&lt;secondary-title&gt;Ecological Economics&lt;/secondary-title&gt;&lt;/titles&gt;&lt;periodical&gt;&lt;full-title&gt;Ecological Economics&lt;/full-title&gt;&lt;/periodical&gt;&lt;pages&gt;82-93&lt;/pages&gt;&lt;volume&gt;59&lt;/volume&gt;&lt;dates&gt;&lt;year&gt;2006&lt;/year&gt;&lt;/dates&gt;&lt;urls&gt;&lt;/urls&gt;&lt;/record&gt;&lt;/Cite&gt;&lt;/EndNote&gt;</w:instrText>
      </w:r>
      <w:r w:rsidRPr="00D14B4E">
        <w:rPr>
          <w:rFonts w:cs="Arial"/>
          <w:sz w:val="20"/>
        </w:rPr>
        <w:fldChar w:fldCharType="separate"/>
      </w:r>
      <w:r w:rsidRPr="00D14B4E">
        <w:rPr>
          <w:rFonts w:cs="Arial"/>
          <w:sz w:val="20"/>
        </w:rPr>
        <w:t>(Winkler, 2006)</w:t>
      </w:r>
      <w:r w:rsidRPr="00D14B4E">
        <w:rPr>
          <w:rFonts w:cs="Arial"/>
          <w:sz w:val="20"/>
        </w:rPr>
        <w:fldChar w:fldCharType="end"/>
      </w:r>
      <w:r w:rsidRPr="00D14B4E">
        <w:rPr>
          <w:rFonts w:cs="Arial"/>
          <w:sz w:val="20"/>
        </w:rPr>
        <w:t xml:space="preserve">. However, socio-cultural values can also involve a respect for the environment that reflects direct experience of nature. This experience can be acquired by people who have a direct interest in the environment, for example people who participate in activities that bring them into contact with the outdoors or nature. It includes also people whose livelihood brings them into direct contact with the environment or which involves a two-way interaction within ecological systems. These relationships do not fall neatly into the supplier-recipient relationship represented by ecosystem services. They can involve a respect for ecosystems that can sometimes extend to the extension of rights and responsibilities to nature. The relationship is exemplified by the value that people attach to natural entities including the concept of Mother Earth which is prevalent in parts of South America, but also evident in different forms in many traditional knowledge systems. Purely, eco-centric or bio-centric beliefs fall outside of the predominantly instrumental realm of the ecosystem service framework (Davidson 2013), but an appreciation of the rights of nature can fall within the scope of socio-cultural values and coexist with a belief in the instrumental values too. </w:t>
      </w:r>
      <w:r w:rsidRPr="00D14B4E">
        <w:rPr>
          <w:rFonts w:cs="Arial"/>
          <w:sz w:val="20"/>
        </w:rPr>
        <w:lastRenderedPageBreak/>
        <w:t>Scholte et al (in this report) discuss how individuals can hold a continuum of values from purely instrumental to the more bio-centric.</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Socio-cultural values and relationships towards the environment are also influenced by the uncertainty which applies to many natural systems and the complexity of relationships between humans and the natural environment. While economic theory assumes informed choices, in practice utility maximisation inevitably implies some level of risk. Dependence on uncertain or fickle natural systems often results in a need to adopt choices which are satisfying rather than utility maximising </w:t>
      </w:r>
      <w:r w:rsidRPr="00D14B4E">
        <w:rPr>
          <w:rFonts w:cs="Arial"/>
          <w:sz w:val="20"/>
        </w:rPr>
        <w:fldChar w:fldCharType="begin"/>
      </w:r>
      <w:r w:rsidRPr="00D14B4E">
        <w:rPr>
          <w:rFonts w:cs="Arial"/>
          <w:sz w:val="20"/>
        </w:rPr>
        <w:instrText xml:space="preserve"> ADDIN EN.CITE &lt;EndNote&gt;&lt;Cite&gt;&lt;Author&gt;Simon&lt;/Author&gt;&lt;Year&gt;1979&lt;/Year&gt;&lt;RecNum&gt;35&lt;/RecNum&gt;&lt;record&gt;&lt;rec-number&gt;35&lt;/rec-number&gt;&lt;foreign-keys&gt;&lt;key app="EN" db-id="x2atpse2dv5zz4ezef45ssa2vzstpedpzt2p"&gt;35&lt;/key&gt;&lt;/foreign-keys&gt;&lt;ref-type name="Edited Book"&gt;28&lt;/ref-type&gt;&lt;contributors&gt;&lt;authors&gt;&lt;author&gt;Simon, Herbert&lt;/author&gt;&lt;/authors&gt;&lt;secondary-authors&gt;&lt;author&gt;Hahn, Frank&lt;/author&gt;&lt;author&gt;Hollis, Martin&lt;/author&gt;&lt;/secondary-authors&gt;&lt;/contributors&gt;&lt;titles&gt;&lt;title&gt;From substantive to procedural rationality&lt;/title&gt;&lt;secondary-title&gt;Philosophy and Economic Theory&lt;/secondary-title&gt;&lt;/titles&gt;&lt;volume&gt;65&lt;/volume&gt;&lt;dates&gt;&lt;year&gt;1979&lt;/year&gt;&lt;/dates&gt;&lt;urls&gt;&lt;/urls&gt;&lt;/record&gt;&lt;/Cite&gt;&lt;/EndNote&gt;</w:instrText>
      </w:r>
      <w:r w:rsidRPr="00D14B4E">
        <w:rPr>
          <w:rFonts w:cs="Arial"/>
          <w:sz w:val="20"/>
        </w:rPr>
        <w:fldChar w:fldCharType="separate"/>
      </w:r>
      <w:r w:rsidRPr="00D14B4E">
        <w:rPr>
          <w:rFonts w:cs="Arial"/>
          <w:sz w:val="20"/>
        </w:rPr>
        <w:t>(Simon, 1979)</w:t>
      </w:r>
      <w:r w:rsidRPr="00D14B4E">
        <w:rPr>
          <w:rFonts w:cs="Arial"/>
          <w:sz w:val="20"/>
        </w:rPr>
        <w:fldChar w:fldCharType="end"/>
      </w:r>
      <w:r w:rsidRPr="00D14B4E">
        <w:rPr>
          <w:rFonts w:cs="Arial"/>
          <w:sz w:val="20"/>
        </w:rPr>
        <w:t xml:space="preserve">.. This usually implies a necessary aversion to risk for people on low incomes such as smallholder farmers in the developing world. </w:t>
      </w:r>
      <w:r w:rsidRPr="00D14B4E">
        <w:rPr>
          <w:rFonts w:cs="Arial"/>
          <w:sz w:val="20"/>
        </w:rPr>
        <w:fldChar w:fldCharType="begin"/>
      </w:r>
      <w:r w:rsidRPr="00D14B4E">
        <w:rPr>
          <w:rFonts w:cs="Arial"/>
          <w:sz w:val="20"/>
        </w:rPr>
        <w:instrText xml:space="preserve"> ADDIN EN.CITE &lt;EndNote&gt;&lt;Cite&gt;&lt;Author&gt;Lo&lt;/Author&gt;&lt;Year&gt;2011&lt;/Year&gt;&lt;RecNum&gt;52&lt;/RecNum&gt;&lt;record&gt;&lt;rec-number&gt;52&lt;/rec-number&gt;&lt;foreign-keys&gt;&lt;key app="EN" db-id="x2atpse2dv5zz4ezef45ssa2vzstpedpzt2p"&gt;52&lt;/key&gt;&lt;/foreign-keys&gt;&lt;ref-type name="Journal Article"&gt;17&lt;/ref-type&gt;&lt;contributors&gt;&lt;authors&gt;&lt;author&gt;Lo, Alex Y&lt;/author&gt;&lt;/authors&gt;&lt;/contributors&gt;&lt;titles&gt;&lt;title&gt;Analysis and democracy: the antecedents of the deliberative approach of ecosystems valuation&lt;/title&gt;&lt;secondary-title&gt;Environment and Planning C&lt;/secondary-title&gt;&lt;/titles&gt;&lt;periodical&gt;&lt;full-title&gt;Environment and Planning C&lt;/full-title&gt;&lt;/periodical&gt;&lt;pages&gt;958-974&lt;/pages&gt;&lt;volume&gt;29&lt;/volume&gt;&lt;dates&gt;&lt;year&gt;2011&lt;/year&gt;&lt;/dates&gt;&lt;urls&gt;&lt;/urls&gt;&lt;research-notes&gt;Good, but long drawn out. Takes a critical approach of deliberation as espoused by deliberative democracy. This is necess where are deep seated moral issues, but analytic democracy seeks an outcome within pragamtic rules. Delib democracy is vulnerable to being hijacked by a top-down agenda. Alternative views are respected, listed to, and leant from. But (somehow) Lo agues is sufficient to have individual introspection to arrive at trade-offs of relative importance (not necess £) in which moral questions are addrssed  by the individual. Avoids fruitless disagreement, but I ask why we cant have some group deliberation? Some peple arn&amp;apos;t open to introspection.&lt;/research-notes&gt;&lt;/record&gt;&lt;/Cite&gt;&lt;/EndNote&gt;</w:instrText>
      </w:r>
      <w:r w:rsidRPr="00D14B4E">
        <w:rPr>
          <w:rFonts w:cs="Arial"/>
          <w:sz w:val="20"/>
        </w:rPr>
        <w:fldChar w:fldCharType="separate"/>
      </w:r>
      <w:r w:rsidRPr="00D14B4E">
        <w:rPr>
          <w:rFonts w:cs="Arial"/>
          <w:sz w:val="20"/>
        </w:rPr>
        <w:t>(Lo, 2011)</w:t>
      </w:r>
      <w:r w:rsidRPr="00D14B4E">
        <w:rPr>
          <w:rFonts w:cs="Arial"/>
          <w:sz w:val="20"/>
        </w:rPr>
        <w:fldChar w:fldCharType="end"/>
      </w:r>
      <w:r w:rsidRPr="00D14B4E">
        <w:rPr>
          <w:rFonts w:cs="Arial"/>
          <w:sz w:val="20"/>
        </w:rPr>
        <w:t xml:space="preserve">. In addition, because many ES are also public goods, or are supplied by environments that are public goods, their long-term sustainability is incompatible with activities that are based on individual utility motivations </w:t>
      </w:r>
      <w:r w:rsidRPr="00D14B4E">
        <w:rPr>
          <w:rFonts w:cs="Arial"/>
          <w:sz w:val="20"/>
        </w:rPr>
        <w:fldChar w:fldCharType="begin"/>
      </w:r>
      <w:r w:rsidRPr="00D14B4E">
        <w:rPr>
          <w:rFonts w:cs="Arial"/>
          <w:sz w:val="20"/>
        </w:rPr>
        <w:instrText xml:space="preserve"> ADDIN EN.CITE &lt;EndNote&gt;&lt;Cite&gt;&lt;Author&gt;Vatn&lt;/Author&gt;&lt;Year&gt;2009&lt;/Year&gt;&lt;RecNum&gt;41&lt;/RecNum&gt;&lt;record&gt;&lt;rec-number&gt;41&lt;/rec-number&gt;&lt;foreign-keys&gt;&lt;key app="EN" db-id="x2atpse2dv5zz4ezef45ssa2vzstpedpzt2p"&gt;41&lt;/key&gt;&lt;/foreign-keys&gt;&lt;ref-type name="Journal Article"&gt;17&lt;/ref-type&gt;&lt;contributors&gt;&lt;authors&gt;&lt;author&gt;Vatn, Arild&lt;/author&gt;&lt;/authors&gt;&lt;/contributors&gt;&lt;titles&gt;&lt;title&gt;An institutional analysis of methods for environmental appraisal&lt;/title&gt;&lt;secondary-title&gt;Ecological Economics&lt;/secondary-title&gt;&lt;/titles&gt;&lt;periodical&gt;&lt;full-title&gt;Ecological Economics&lt;/full-title&gt;&lt;/periodical&gt;&lt;pages&gt;2207-2215&lt;/pages&gt;&lt;volume&gt;58&lt;/volume&gt;&lt;dates&gt;&lt;year&gt;2009&lt;/year&gt;&lt;/dates&gt;&lt;urls&gt;&lt;/urls&gt;&lt;/record&gt;&lt;/Cite&gt;&lt;/EndNote&gt;</w:instrText>
      </w:r>
      <w:r w:rsidRPr="00D14B4E">
        <w:rPr>
          <w:rFonts w:cs="Arial"/>
          <w:sz w:val="20"/>
        </w:rPr>
        <w:fldChar w:fldCharType="separate"/>
      </w:r>
      <w:r w:rsidRPr="00D14B4E">
        <w:rPr>
          <w:rFonts w:cs="Arial"/>
          <w:sz w:val="20"/>
        </w:rPr>
        <w:t>(Vatn, 2009)</w:t>
      </w:r>
      <w:r w:rsidRPr="00D14B4E">
        <w:rPr>
          <w:rFonts w:cs="Arial"/>
          <w:sz w:val="20"/>
        </w:rPr>
        <w:fldChar w:fldCharType="end"/>
      </w:r>
      <w:r w:rsidRPr="00D14B4E">
        <w:rPr>
          <w:rFonts w:cs="Arial"/>
          <w:sz w:val="20"/>
        </w:rPr>
        <w:t>. Unfettered access to a natural resource could mean that its use succumbs to a short-lived free-for-all. Rather than the continuous substitution assumed by economics, there may be non</w:t>
      </w:r>
      <w:r>
        <w:rPr>
          <w:rFonts w:cs="Arial"/>
          <w:sz w:val="20"/>
        </w:rPr>
        <w:t>-</w:t>
      </w:r>
      <w:r w:rsidRPr="00D14B4E">
        <w:rPr>
          <w:rFonts w:cs="Arial"/>
          <w:sz w:val="20"/>
        </w:rPr>
        <w:t xml:space="preserve">linear relationships between exogenous factors such as climate, habitats and species </w:t>
      </w:r>
      <w:r w:rsidRPr="00D14B4E">
        <w:rPr>
          <w:rFonts w:cs="Arial"/>
          <w:sz w:val="20"/>
        </w:rPr>
        <w:fldChar w:fldCharType="begin">
          <w:fldData xml:space="preserve">PEVuZE5vdGU+PENpdGU+PEF1dGhvcj5EYWlseTwvQXV0aG9yPjxZZWFyPjIwMDA8L1llYXI+PFJl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=
</w:fldData>
        </w:fldChar>
      </w:r>
      <w:r w:rsidRPr="00D14B4E">
        <w:rPr>
          <w:rFonts w:cs="Arial"/>
          <w:sz w:val="20"/>
        </w:rPr>
        <w:instrText xml:space="preserve"> ADDIN EN.CITE </w:instrText>
      </w:r>
      <w:r w:rsidRPr="00D14B4E">
        <w:rPr>
          <w:rFonts w:cs="Arial"/>
          <w:sz w:val="20"/>
        </w:rPr>
        <w:fldChar w:fldCharType="begin">
          <w:fldData xml:space="preserve">PEVuZE5vdGU+PENpdGU+PEF1dGhvcj5EYWlseTwvQXV0aG9yPjxZZWFyPjIwMDA8L1llYXI+PFJl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=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(Daily et al., 2000)</w:t>
      </w:r>
      <w:r w:rsidRPr="00D14B4E">
        <w:rPr>
          <w:rFonts w:cs="Arial"/>
          <w:sz w:val="20"/>
        </w:rPr>
        <w:fldChar w:fldCharType="end"/>
      </w:r>
      <w:r w:rsidRPr="00D14B4E">
        <w:rPr>
          <w:rFonts w:cs="Arial"/>
          <w:sz w:val="20"/>
        </w:rPr>
        <w:t>. Ecological thresholds may be present from which there is no return and to which probability based expectations are not applicable. An awareness of this uncertainty inevitably impacts on socio-cultural values.</w:t>
      </w:r>
    </w:p>
    <w:p w:rsidR="003F789A" w:rsidRPr="00D14B4E" w:rsidRDefault="003F789A" w:rsidP="00AD0F4B">
      <w:pPr>
        <w:rPr>
          <w:rFonts w:cs="Arial"/>
          <w:sz w:val="20"/>
        </w:rPr>
      </w:pPr>
    </w:p>
    <w:p w:rsidR="003F789A" w:rsidRPr="00931193" w:rsidRDefault="003F789A" w:rsidP="0032165B">
      <w:pPr>
        <w:pStyle w:val="Heading2"/>
        <w:numPr>
          <w:ilvl w:val="1"/>
          <w:numId w:val="31"/>
        </w:numPr>
        <w:ind w:left="851" w:hanging="851"/>
        <w:rPr>
          <w:rFonts w:ascii="Arial Bold" w:hAnsi="Arial Bold"/>
          <w:color w:val="00B050"/>
        </w:rPr>
      </w:pPr>
      <w:bookmarkStart w:id="33" w:name="_Toc436757138"/>
      <w:bookmarkStart w:id="34" w:name="_Toc436758077"/>
      <w:bookmarkStart w:id="35" w:name="_Toc436915601"/>
      <w:bookmarkStart w:id="36" w:name="_Toc436916042"/>
      <w:r w:rsidRPr="00931193">
        <w:rPr>
          <w:rFonts w:ascii="Arial Bold" w:hAnsi="Arial Bold"/>
          <w:color w:val="00B050"/>
        </w:rPr>
        <w:t>Methods for socio-cultural valuation</w:t>
      </w:r>
      <w:bookmarkEnd w:id="33"/>
      <w:bookmarkEnd w:id="34"/>
      <w:bookmarkEnd w:id="35"/>
      <w:bookmarkEnd w:id="36"/>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Socio-cultural valuation </w:t>
      </w:r>
      <w:r>
        <w:rPr>
          <w:rFonts w:cs="Arial"/>
          <w:sz w:val="20"/>
        </w:rPr>
        <w:t xml:space="preserve">(SCV) </w:t>
      </w:r>
      <w:r w:rsidRPr="00D14B4E">
        <w:rPr>
          <w:rFonts w:cs="Arial"/>
          <w:sz w:val="20"/>
        </w:rPr>
        <w:t xml:space="preserve">does not have the quality to reduce values to a single measure, but it does have the capacity to address a wide range of value types. There is no single method of valuation. Rather, the plurality of values needs a plurality of methods. Measures are available to represent socio-cultural values in quantitative or qualitative terms, but the processes whereby values are elicited and explored can be as useful as the measures themselves. The discipline from which a research problem is defined can determine how a problem is perceived and how values are articulated and recorded </w:t>
      </w:r>
      <w:r w:rsidRPr="00D14B4E">
        <w:rPr>
          <w:rFonts w:cs="Arial"/>
          <w:sz w:val="20"/>
        </w:rPr>
        <w:fldChar w:fldCharType="begin">
          <w:fldData xml:space="preserve">PEVuZE5vdGU+PENpdGU+PEF1dGhvcj5WYXRuPC9BdXRob3I+PFllYXI+MjAwOTwvWWVhcj48UmVj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</w:fldData>
        </w:fldChar>
      </w:r>
      <w:r w:rsidRPr="00D14B4E">
        <w:rPr>
          <w:rFonts w:cs="Arial"/>
          <w:sz w:val="20"/>
        </w:rPr>
        <w:instrText xml:space="preserve"> ADDIN EN.CITE </w:instrText>
      </w:r>
      <w:r w:rsidRPr="00D14B4E">
        <w:rPr>
          <w:rFonts w:cs="Arial"/>
          <w:sz w:val="20"/>
        </w:rPr>
        <w:fldChar w:fldCharType="begin">
          <w:fldData xml:space="preserve">PEVuZE5vdGU+PENpdGU+PEF1dGhvcj5WYXRuPC9BdXRob3I+PFllYXI+MjAwOTwvWWVhcj48UmVj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(Caceras et al., 2015; Radovich, 1981; Vatn, 2009)</w:t>
      </w:r>
      <w:r w:rsidRPr="00D14B4E">
        <w:rPr>
          <w:rFonts w:cs="Arial"/>
          <w:sz w:val="20"/>
        </w:rPr>
        <w:fldChar w:fldCharType="end"/>
      </w:r>
      <w:r w:rsidRPr="00D14B4E">
        <w:rPr>
          <w:rFonts w:cs="Arial"/>
          <w:sz w:val="20"/>
        </w:rPr>
        <w:t xml:space="preserve">.  Ideally, however, the process of value articulation is intended to be as unobtrusive as possible with the objective of providing firmer foundations by which to assess social values for ecosystem services.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Single or group interviews can be used for the purpose of content-based analytical approaches to record, transcribe and code recurring words, phrases or value types. Structured or semi-structured interviews can be performed.  The latter involves a pre-defined set of questions which can be presented to interviewees in a flexible manner while permitting them to talk freely about a particular issue. Alternatively, structured questionnaires can be designed, for example to identify subsets of participants who share common perspectives or values by asking them to rate certain topics for the purposes of factor or principal components analysis. Similarly, the Q-methodology can be used based on participants’ rating of various expressions of opinion or statements </w:t>
      </w:r>
      <w:r w:rsidRPr="00D14B4E">
        <w:rPr>
          <w:rFonts w:cs="Arial"/>
          <w:sz w:val="20"/>
        </w:rPr>
        <w:fldChar w:fldCharType="begin"/>
      </w:r>
      <w:r w:rsidRPr="00D14B4E">
        <w:rPr>
          <w:rFonts w:cs="Arial"/>
          <w:sz w:val="20"/>
        </w:rPr>
        <w:instrText xml:space="preserve"> ADDIN EN.CITE &lt;EndNote&gt;&lt;Cite&gt;&lt;Author&gt;Singh&lt;/Author&gt;&lt;Year&gt;2015&lt;/Year&gt;&lt;RecNum&gt;68&lt;/RecNum&gt;&lt;record&gt;&lt;rec-number&gt;68&lt;/rec-number&gt;&lt;foreign-keys&gt;&lt;key app="EN" db-id="x2atpse2dv5zz4ezef45ssa2vzstpedpzt2p"&gt;68&lt;/key&gt;&lt;/foreign-keys&gt;&lt;ref-type name="Book"&gt;6&lt;/ref-type&gt;&lt;contributors&gt;&lt;authors&gt;&lt;author&gt;Singh, Arun Kumar&lt;/author&gt;&lt;/authors&gt;&lt;/contributors&gt;&lt;titles&gt;&lt;title&gt;Social Psychology&lt;/title&gt;&lt;/titles&gt;&lt;dates&gt;&lt;year&gt;2015&lt;/year&gt;&lt;/dates&gt;&lt;pub-location&gt;Delhi&lt;/pub-location&gt;&lt;publisher&gt;PHI Learning Private Limited&lt;/publisher&gt;&lt;isbn&gt;978-81-203-5057-1&lt;/isbn&gt;&lt;urls&gt;&lt;/urls&gt;&lt;/record&gt;&lt;/Cite&gt;&lt;/EndNote&gt;</w:instrText>
      </w:r>
      <w:r w:rsidRPr="00D14B4E">
        <w:rPr>
          <w:rFonts w:cs="Arial"/>
          <w:sz w:val="20"/>
        </w:rPr>
        <w:fldChar w:fldCharType="separate"/>
      </w:r>
      <w:r w:rsidRPr="00D14B4E">
        <w:rPr>
          <w:rFonts w:cs="Arial"/>
          <w:sz w:val="20"/>
        </w:rPr>
        <w:t>(Singh, 2015)</w:t>
      </w:r>
      <w:r w:rsidRPr="00D14B4E">
        <w:rPr>
          <w:rFonts w:cs="Arial"/>
          <w:sz w:val="20"/>
        </w:rPr>
        <w:fldChar w:fldCharType="end"/>
      </w:r>
      <w:r w:rsidRPr="00D14B4E">
        <w:rPr>
          <w:rFonts w:cs="Arial"/>
          <w:sz w:val="20"/>
        </w:rPr>
        <w:t>.</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These qualitative or quantitative research methods can also proceed the use of group discussions. The virtue of group methods is that they allow participants to discuss, reflect and debate their respective points of view or behaviour.  Deliberation can be used to discuss socio-cultural values. Typically, this takes the form of workshops, either single workshops with different groups of participants, or a series of workshops with the same participants. The objective is to introduce </w:t>
      </w:r>
      <w:r w:rsidRPr="00D14B4E">
        <w:rPr>
          <w:rFonts w:cs="Arial"/>
          <w:sz w:val="20"/>
        </w:rPr>
        <w:lastRenderedPageBreak/>
        <w:t xml:space="preserve">relevant information and to encourage participants to discuss the respective values that they have. Deliberation conforms to the process of value construction favoured by psychologists. A facilitator may advise on technical matters, but the more important insight is that provided by the participants themselves </w:t>
      </w:r>
      <w:r w:rsidRPr="00D14B4E">
        <w:rPr>
          <w:rFonts w:cs="Arial"/>
          <w:sz w:val="20"/>
        </w:rPr>
        <w:fldChar w:fldCharType="begin"/>
      </w:r>
      <w:r w:rsidRPr="00D14B4E">
        <w:rPr>
          <w:rFonts w:cs="Arial"/>
          <w:sz w:val="20"/>
        </w:rPr>
        <w:instrText xml:space="preserve"> ADDIN EN.CITE &lt;EndNote&gt;&lt;Cite&gt;&lt;Author&gt;Haines-Young&lt;/Author&gt;&lt;Year&gt;2014&lt;/Year&gt;&lt;RecNum&gt;240&lt;/RecNum&gt;&lt;record&gt;&lt;rec-number&gt;240&lt;/rec-number&gt;&lt;foreign-keys&gt;&lt;key app="EN" db-id="e2vf2w0dqe2fp9e00z5xrt55vxxafpp00ves"&gt;240&lt;/key&gt;&lt;/foreign-keys&gt;&lt;ref-type name="Journal Article"&gt;17&lt;/ref-type&gt;&lt;contributors&gt;&lt;authors&gt;&lt;author&gt;Haines-Young, R&lt;/author&gt;&lt;author&gt;Potschin, M&lt;/author&gt;&lt;/authors&gt;&lt;/contributors&gt;&lt;titles&gt;&lt;title&gt;The ecosystem approach as a framework for understanding knowledge utilisation&lt;/title&gt;&lt;secondary-title&gt;Environment and Planning C&lt;/secondary-title&gt;&lt;/titles&gt;&lt;periodical&gt;&lt;full-title&gt;Environment and Planning C&lt;/full-title&gt;&lt;/periodical&gt;&lt;pages&gt;301-319&lt;/pages&gt;&lt;volume&gt;32&lt;/volume&gt;&lt;dates&gt;&lt;year&gt;2014&lt;/year&gt;&lt;/dates&gt;&lt;urls&gt;&lt;/urls&gt;&lt;/record&gt;&lt;/Cite&gt;&lt;/EndNote&gt;</w:instrText>
      </w:r>
      <w:r w:rsidRPr="00D14B4E">
        <w:rPr>
          <w:rFonts w:cs="Arial"/>
          <w:sz w:val="20"/>
        </w:rPr>
        <w:fldChar w:fldCharType="separate"/>
      </w:r>
      <w:r w:rsidRPr="00D14B4E">
        <w:rPr>
          <w:rFonts w:cs="Arial"/>
          <w:sz w:val="20"/>
        </w:rPr>
        <w:t>(Haines-Young and Potschin, 2014)</w:t>
      </w:r>
      <w:r w:rsidRPr="00D14B4E">
        <w:rPr>
          <w:rFonts w:cs="Arial"/>
          <w:sz w:val="20"/>
        </w:rPr>
        <w:fldChar w:fldCharType="end"/>
      </w:r>
      <w:r w:rsidRPr="00D14B4E">
        <w:rPr>
          <w:rFonts w:cs="Arial"/>
          <w:sz w:val="20"/>
        </w:rPr>
        <w:t xml:space="preserve">. Participants do though engage in a process of social learning. They can discuss alternative courses of action and learn from other participants’ perspectives and values. </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Citizen juries are a more formalised deliberation exercise </w:t>
      </w:r>
      <w:r w:rsidRPr="00D14B4E">
        <w:rPr>
          <w:rFonts w:cs="Arial"/>
          <w:sz w:val="20"/>
        </w:rPr>
        <w:fldChar w:fldCharType="begin">
          <w:fldData xml:space="preserve">PEVuZE5vdGU+PENpdGU+PEF1dGhvcj5BbHZhcmV6LUZhcml6bzwvQXV0aG9yPjxZZWFyPjIwMDY8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</w:fldData>
        </w:fldChar>
      </w:r>
      <w:r w:rsidRPr="00D14B4E">
        <w:rPr>
          <w:rFonts w:cs="Arial"/>
          <w:sz w:val="20"/>
        </w:rPr>
        <w:instrText xml:space="preserve"> ADDIN EN.CITE </w:instrText>
      </w:r>
      <w:r w:rsidRPr="00D14B4E">
        <w:rPr>
          <w:rFonts w:cs="Arial"/>
          <w:sz w:val="20"/>
        </w:rPr>
        <w:fldChar w:fldCharType="begin">
          <w:fldData xml:space="preserve">PEVuZE5vdGU+PENpdGU+PEF1dGhvcj5BbHZhcmV6LUZhcml6bzwvQXV0aG9yPjxZZWFyPjIwMDY8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(Alvarez-Farizo and Hanley, 2006; Kenyon et al., 2003; Smith and Wales, 1990)</w:t>
      </w:r>
      <w:r w:rsidRPr="00D14B4E">
        <w:rPr>
          <w:rFonts w:cs="Arial"/>
          <w:sz w:val="20"/>
        </w:rPr>
        <w:fldChar w:fldCharType="end"/>
      </w:r>
      <w:r w:rsidRPr="00D14B4E">
        <w:rPr>
          <w:rFonts w:cs="Arial"/>
          <w:sz w:val="20"/>
        </w:rPr>
        <w:t xml:space="preserve">. Relevant information and arguments are introduced, sometimes formally in the form of presentations by stakeholders or experts. Participants are encouraged to debate and discuss the information and its merits from the perspective of citizens and to arrive at a consensus position. </w:t>
      </w:r>
    </w:p>
    <w:p w:rsidR="003F789A" w:rsidRPr="00D14B4E" w:rsidRDefault="003F789A" w:rsidP="00AD0F4B">
      <w:pPr>
        <w:rPr>
          <w:rFonts w:cs="Arial"/>
          <w:sz w:val="20"/>
        </w:rPr>
      </w:pPr>
    </w:p>
    <w:p w:rsidR="003F789A" w:rsidRPr="00D14B4E" w:rsidRDefault="003F789A" w:rsidP="00AD0F4B">
      <w:pPr>
        <w:pStyle w:val="CommentText"/>
        <w:rPr>
          <w:rFonts w:cs="Arial"/>
        </w:rPr>
      </w:pPr>
      <w:r w:rsidRPr="00D14B4E">
        <w:rPr>
          <w:rFonts w:cs="Arial"/>
        </w:rPr>
        <w:t xml:space="preserve">Analytical deliberation aims to record the process of deliberation using quantitative measures. Scoring and cluster analysis can be introduced into the process. Deliberative monetary valuation is a method that uses workshops as a means to provide more considered monetary estimates for the purposes of economic valuation </w:t>
      </w:r>
      <w:r w:rsidRPr="00D14B4E">
        <w:rPr>
          <w:rFonts w:cs="Arial"/>
        </w:rPr>
        <w:fldChar w:fldCharType="begin"/>
      </w:r>
      <w:r w:rsidRPr="00D14B4E">
        <w:rPr>
          <w:rFonts w:cs="Arial"/>
        </w:rPr>
        <w:instrText xml:space="preserve"> ADDIN EN.CITE &lt;EndNote&gt;&lt;Cite&gt;&lt;Author&gt;Spash&lt;/Author&gt;&lt;Year&gt;2007&lt;/Year&gt;&lt;RecNum&gt;866&lt;/RecNum&gt;&lt;record&gt;&lt;rec-number&gt;866&lt;/rec-number&gt;&lt;foreign-keys&gt;&lt;key app="EN" db-id="tvv99x9e6r0ds7edxa8p0decevvx5dwrprpa"&gt;866&lt;/key&gt;&lt;/foreign-keys&gt;&lt;ref-type name="Journal Article"&gt;17&lt;/ref-type&gt;&lt;contributors&gt;&lt;authors&gt;&lt;author&gt;Spash, Clive L&lt;/author&gt;&lt;/authors&gt;&lt;/contributors&gt;&lt;titles&gt;&lt;title&gt;Deliberative monetary valuation (DMV): Issues in combining economic and political processes to value environmental change. &lt;/title&gt;&lt;secondary-title&gt;Ecological Economics&lt;/secondary-title&gt;&lt;/titles&gt;&lt;periodical&gt;&lt;full-title&gt;Ecological Economics&lt;/full-title&gt;&lt;/periodical&gt;&lt;pages&gt;690-699&lt;/pages&gt;&lt;volume&gt;63&lt;/volume&gt;&lt;number&gt;4&lt;/number&gt;&lt;dates&gt;&lt;year&gt;2007&lt;/year&gt;&lt;/dates&gt;&lt;urls&gt;&lt;/urls&gt;&lt;/record&gt;&lt;/Cite&gt;&lt;/EndNote&gt;</w:instrText>
      </w:r>
      <w:r w:rsidRPr="00D14B4E">
        <w:rPr>
          <w:rFonts w:cs="Arial"/>
        </w:rPr>
        <w:fldChar w:fldCharType="separate"/>
      </w:r>
      <w:r w:rsidRPr="00D14B4E">
        <w:rPr>
          <w:rFonts w:cs="Arial"/>
        </w:rPr>
        <w:t>(Spash, 2007)</w:t>
      </w:r>
      <w:r w:rsidRPr="00D14B4E">
        <w:rPr>
          <w:rFonts w:cs="Arial"/>
        </w:rPr>
        <w:fldChar w:fldCharType="end"/>
      </w:r>
      <w:r w:rsidRPr="00D14B4E">
        <w:rPr>
          <w:rFonts w:cs="Arial"/>
        </w:rPr>
        <w:t xml:space="preserve">. This process can be used to improve the reliability of values over successive phases of deliberation </w:t>
      </w:r>
      <w:r w:rsidRPr="00D14B4E">
        <w:rPr>
          <w:rFonts w:cs="Arial"/>
        </w:rPr>
        <w:fldChar w:fldCharType="begin"/>
      </w:r>
      <w:r w:rsidRPr="00D14B4E">
        <w:rPr>
          <w:rFonts w:cs="Arial"/>
        </w:rPr>
        <w:instrText xml:space="preserve"> ADDIN EN.CITE &lt;EndNote&gt;&lt;Cite&gt;&lt;Author&gt;Kenter&lt;/Author&gt;&lt;Year&gt;2014&lt;/Year&gt;&lt;RecNum&gt;58&lt;/RecNum&gt;&lt;record&gt;&lt;rec-number&gt;58&lt;/rec-number&gt;&lt;foreign-keys&gt;&lt;key app="EN" db-id="x2atpse2dv5zz4ezef45ssa2vzstpedpzt2p"&gt;58&lt;/key&gt;&lt;/foreign-keys&gt;&lt;ref-type name="Report"&gt;27&lt;/ref-type&gt;&lt;contributors&gt;&lt;authors&gt;&lt;author&gt;Kenter, Jasper O&lt;/author&gt;&lt;/authors&gt;&lt;/contributors&gt;&lt;titles&gt;&lt;title&gt;Valuing the Inner Forth: Final Report to the Inner Forth Landscape Initiative&lt;/title&gt;&lt;/titles&gt;&lt;dates&gt;&lt;year&gt;2014&lt;/year&gt;&lt;pub-dates&gt;&lt;date&gt;May 2014&lt;/date&gt;&lt;/pub-dates&gt;&lt;/dates&gt;&lt;pub-location&gt;Falkirk/Aberdeen, Scotland&lt;/pub-location&gt;&lt;publisher&gt;IFLI/University of Aberdeen&lt;/publisher&gt;&lt;urls&gt;&lt;/urls&gt;&lt;/record&gt;&lt;/Cite&gt;&lt;/EndNote&gt;</w:instrText>
      </w:r>
      <w:r w:rsidRPr="00D14B4E">
        <w:rPr>
          <w:rFonts w:cs="Arial"/>
        </w:rPr>
        <w:fldChar w:fldCharType="separate"/>
      </w:r>
      <w:r w:rsidRPr="00D14B4E">
        <w:rPr>
          <w:rFonts w:cs="Arial"/>
        </w:rPr>
        <w:t>(Kenter, 2014)</w:t>
      </w:r>
      <w:r w:rsidRPr="00D14B4E">
        <w:rPr>
          <w:rFonts w:cs="Arial"/>
        </w:rPr>
        <w:fldChar w:fldCharType="end"/>
      </w:r>
      <w:r w:rsidRPr="00D14B4E">
        <w:rPr>
          <w:rFonts w:cs="Arial"/>
        </w:rPr>
        <w:t>. However, deliberative monetary valuation is still vulnerable to the criticism of a reliance on the singular dimension of willingness-to-pay as a means of value articulation. The process will certainly have allowed monetary values to be refined over successful workshops, but useful information on the range of values and their origin is consigned to the record of the process.</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Participatory mapping can be used to identify spatial variation in ES and areas of high socio-cultural values </w:t>
      </w:r>
      <w:r w:rsidRPr="00D14B4E">
        <w:rPr>
          <w:rFonts w:cs="Arial"/>
          <w:sz w:val="20"/>
        </w:rPr>
        <w:fldChar w:fldCharType="begin">
          <w:fldData xml:space="preserve">PEVuZE5vdGU+PENpdGU+PEF1dGhvcj5SYXltb25kPC9BdXRob3I+PFllYXI+MjAwOTwvWWVhcj48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</w:fldData>
        </w:fldChar>
      </w:r>
      <w:r w:rsidRPr="00D14B4E">
        <w:rPr>
          <w:rFonts w:cs="Arial"/>
          <w:sz w:val="20"/>
        </w:rPr>
        <w:instrText xml:space="preserve"> ADDIN EN.CITE </w:instrText>
      </w:r>
      <w:r w:rsidRPr="00D14B4E">
        <w:rPr>
          <w:rFonts w:cs="Arial"/>
          <w:sz w:val="20"/>
        </w:rPr>
        <w:fldChar w:fldCharType="begin">
          <w:fldData xml:space="preserve">PEVuZE5vdGU+PENpdGU+PEF1dGhvcj5SYXltb25kPC9BdXRob3I+PFllYXI+MjAwOTwvWWVhcj48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(Alessa et al., 2008; Plieninger et al., 2013; Raymond et al., 2009)</w:t>
      </w:r>
      <w:r w:rsidRPr="00D14B4E">
        <w:rPr>
          <w:rFonts w:cs="Arial"/>
          <w:sz w:val="20"/>
        </w:rPr>
        <w:fldChar w:fldCharType="end"/>
      </w:r>
      <w:r w:rsidRPr="00D14B4E">
        <w:rPr>
          <w:rFonts w:cs="Arial"/>
          <w:sz w:val="20"/>
        </w:rPr>
        <w:t xml:space="preserve">. This can be of direct relevance to environmental management by identifying hotspots of cultural or other ES or valued combinations of landforms most associated with ecosystem services. However, participatory mapping is equally of value for strengthening the deliberation process and for teasing out the various tangible and intangible values that might be present </w:t>
      </w:r>
      <w:r w:rsidRPr="00D14B4E">
        <w:rPr>
          <w:rFonts w:cs="Arial"/>
          <w:sz w:val="20"/>
        </w:rPr>
        <w:fldChar w:fldCharType="begin"/>
      </w:r>
      <w:r w:rsidRPr="00D14B4E">
        <w:rPr>
          <w:rFonts w:cs="Arial"/>
          <w:sz w:val="20"/>
        </w:rPr>
        <w:instrText xml:space="preserve"> ADDIN EN.CITE &lt;EndNote&gt;&lt;Cite&gt;&lt;Author&gt;Gould&lt;/Author&gt;&lt;Year&gt;2014&lt;/Year&gt;&lt;RecNum&gt;305&lt;/RecNum&gt;&lt;record&gt;&lt;rec-number&gt;305&lt;/rec-number&gt;&lt;foreign-keys&gt;&lt;key app="EN" db-id="e2vf2w0dqe2fp9e00z5xrt55vxxafpp00ves"&gt;305&lt;/key&gt;&lt;/foreign-keys&gt;&lt;ref-type name="Journal Article"&gt;17&lt;/ref-type&gt;&lt;contributors&gt;&lt;authors&gt;&lt;author&gt;Gould, Rachell R&lt;/author&gt;&lt;author&gt;Klain, Sarah C.&lt;/author&gt;&lt;author&gt;Ardoin, Nicole M&lt;/author&gt;&lt;author&gt;Satterfield, Terre&lt;/author&gt;&lt;author&gt;Woodside, Ulalia&lt;/author&gt;&lt;author&gt;Hannahs, Neil&lt;/author&gt;&lt;author&gt;Daily, Gretchin C&lt;/author&gt;&lt;/authors&gt;&lt;/contributors&gt;&lt;titles&gt;&lt;title&gt;A protocol for eliciting nonmaterial values through a cultural ecosystem services frame&lt;/title&gt;&lt;secondary-title&gt;Conservation Biology&lt;/secondary-title&gt;&lt;/titles&gt;&lt;periodical&gt;&lt;full-title&gt;Conservation Biology&lt;/full-title&gt;&lt;/periodical&gt;&lt;pages&gt;575-586&lt;/pages&gt;&lt;volume&gt;29&lt;/volume&gt;&lt;number&gt;2&lt;/number&gt;&lt;dates&gt;&lt;year&gt;2014&lt;/year&gt;&lt;/dates&gt;&lt;urls&gt;&lt;/urls&gt;&lt;/record&gt;&lt;/Cite&gt;&lt;/EndNote&gt;</w:instrText>
      </w:r>
      <w:r w:rsidRPr="00D14B4E">
        <w:rPr>
          <w:rFonts w:cs="Arial"/>
          <w:sz w:val="20"/>
        </w:rPr>
        <w:fldChar w:fldCharType="separate"/>
      </w:r>
      <w:r w:rsidRPr="00D14B4E">
        <w:rPr>
          <w:rFonts w:cs="Arial"/>
          <w:sz w:val="20"/>
        </w:rPr>
        <w:t>(Gould et al., 2014)</w:t>
      </w:r>
      <w:r w:rsidRPr="00D14B4E">
        <w:rPr>
          <w:rFonts w:cs="Arial"/>
          <w:sz w:val="20"/>
        </w:rPr>
        <w:fldChar w:fldCharType="end"/>
      </w:r>
      <w:r w:rsidRPr="00D14B4E">
        <w:rPr>
          <w:rFonts w:cs="Arial"/>
          <w:sz w:val="20"/>
        </w:rPr>
        <w:t>.</w:t>
      </w:r>
    </w:p>
    <w:p w:rsidR="003F789A" w:rsidRPr="00D14B4E" w:rsidRDefault="003F789A" w:rsidP="00AD0F4B">
      <w:pPr>
        <w:rPr>
          <w:rFonts w:cs="Arial"/>
          <w:sz w:val="20"/>
        </w:rPr>
      </w:pPr>
    </w:p>
    <w:p w:rsidR="003F789A" w:rsidRPr="00D14B4E" w:rsidRDefault="003F789A" w:rsidP="00AD0F4B">
      <w:pPr>
        <w:rPr>
          <w:rFonts w:cs="Arial"/>
          <w:sz w:val="20"/>
        </w:rPr>
      </w:pPr>
      <w:r w:rsidRPr="00D14B4E">
        <w:rPr>
          <w:rFonts w:cs="Arial"/>
          <w:sz w:val="20"/>
        </w:rPr>
        <w:t xml:space="preserve">A challenge in the present context is how to introduce the concept of ES into deliberation.  In a review of a number of UK stakeholder consultation exercises, Haines-Young and </w:t>
      </w:r>
      <w:proofErr w:type="spellStart"/>
      <w:r w:rsidRPr="00D14B4E">
        <w:rPr>
          <w:rFonts w:cs="Arial"/>
          <w:sz w:val="20"/>
        </w:rPr>
        <w:t>Potschin</w:t>
      </w:r>
      <w:proofErr w:type="spellEnd"/>
      <w:r w:rsidRPr="00D14B4E">
        <w:rPr>
          <w:rFonts w:cs="Arial"/>
          <w:sz w:val="20"/>
        </w:rPr>
        <w:t xml:space="preserve"> </w:t>
      </w:r>
      <w:r w:rsidRPr="00D14B4E">
        <w:rPr>
          <w:rFonts w:cs="Arial"/>
          <w:sz w:val="20"/>
        </w:rPr>
        <w:fldChar w:fldCharType="begin"/>
      </w:r>
      <w:r w:rsidRPr="00D14B4E">
        <w:rPr>
          <w:rFonts w:cs="Arial"/>
          <w:sz w:val="20"/>
        </w:rPr>
        <w:instrText xml:space="preserve"> ADDIN EN.CITE &lt;EndNote&gt;&lt;Cite ExcludeAuth="1"&gt;&lt;Author&gt;Haines-Young&lt;/Author&gt;&lt;Year&gt;2014&lt;/Year&gt;&lt;RecNum&gt;240&lt;/RecNum&gt;&lt;record&gt;&lt;rec-number&gt;240&lt;/rec-number&gt;&lt;foreign-keys&gt;&lt;key app="EN" db-id="e2vf2w0dqe2fp9e00z5xrt55vxxafpp00ves"&gt;240&lt;/key&gt;&lt;/foreign-keys&gt;&lt;ref-type name="Journal Article"&gt;17&lt;/ref-type&gt;&lt;contributors&gt;&lt;authors&gt;&lt;author&gt;Haines-Young, R&lt;/author&gt;&lt;author&gt;Potschin, M&lt;/author&gt;&lt;/authors&gt;&lt;/contributors&gt;&lt;titles&gt;&lt;title&gt;The ecosystem approach as a framework for understanding knowledge utilisation&lt;/title&gt;&lt;secondary-title&gt;Environment and Planning C&lt;/secondary-title&gt;&lt;/titles&gt;&lt;periodical&gt;&lt;full-title&gt;Environment and Planning C&lt;/full-title&gt;&lt;/periodical&gt;&lt;pages&gt;301-319&lt;/pages&gt;&lt;volume&gt;32&lt;/volume&gt;&lt;dates&gt;&lt;year&gt;2014&lt;/year&gt;&lt;/dates&gt;&lt;urls&gt;&lt;/urls&gt;&lt;/record&gt;&lt;/Cite&gt;&lt;/EndNote&gt;</w:instrText>
      </w:r>
      <w:r w:rsidRPr="00D14B4E">
        <w:rPr>
          <w:rFonts w:cs="Arial"/>
          <w:sz w:val="20"/>
        </w:rPr>
        <w:fldChar w:fldCharType="separate"/>
      </w:r>
      <w:r w:rsidRPr="00D14B4E">
        <w:rPr>
          <w:rFonts w:cs="Arial"/>
          <w:sz w:val="20"/>
        </w:rPr>
        <w:t>(2014)</w:t>
      </w:r>
      <w:r w:rsidRPr="00D14B4E">
        <w:rPr>
          <w:rFonts w:cs="Arial"/>
          <w:sz w:val="20"/>
        </w:rPr>
        <w:fldChar w:fldCharType="end"/>
      </w:r>
      <w:r w:rsidRPr="00D14B4E">
        <w:rPr>
          <w:rFonts w:cs="Arial"/>
          <w:sz w:val="20"/>
        </w:rPr>
        <w:t xml:space="preserve"> acknowledge the difficulty of effectively communicating the concept of ES concept even after numerous rounds of deliberation. To this end, the emphasis may vary from discussion of quality of life, benefits to people, or the protection of biodiversity and ecosystems </w:t>
      </w:r>
      <w:r w:rsidRPr="00D14B4E">
        <w:rPr>
          <w:rFonts w:cs="Arial"/>
          <w:sz w:val="20"/>
        </w:rPr>
        <w:fldChar w:fldCharType="begin"/>
      </w:r>
      <w:r w:rsidRPr="00D14B4E">
        <w:rPr>
          <w:rFonts w:cs="Arial"/>
          <w:sz w:val="20"/>
        </w:rPr>
        <w:instrText xml:space="preserve"> ADDIN EN.CITE &lt;EndNote&gt;&lt;Cite&gt;&lt;Author&gt;IPBES&lt;/Author&gt;&lt;Year&gt;2015&lt;/Year&gt;&lt;RecNum&gt;291&lt;/RecNum&gt;&lt;record&gt;&lt;rec-number&gt;291&lt;/rec-number&gt;&lt;foreign-keys&gt;&lt;key app="EN" db-id="e2vf2w0dqe2fp9e00z5xrt55vxxafpp00ves"&gt;291&lt;/key&gt;&lt;/foreign-keys&gt;&lt;ref-type name="Report"&gt;27&lt;/ref-type&gt;&lt;contributors&gt;&lt;authors&gt;&lt;author&gt;IPBES&lt;/author&gt;&lt;/authors&gt;&lt;/contributors&gt;&lt;titles&gt;&lt;title&gt;Preliminary guide regarding diverse conceptualization of multiple values of nature and its benefits, including biodiversity and ecosystem functions and services. Draft 29 December 2014.&lt;/title&gt;&lt;/titles&gt;&lt;volume&gt;Draft report&lt;/volume&gt;&lt;number&gt;IPBES/3/INF/7&lt;/number&gt;&lt;dates&gt;&lt;year&gt;2015&lt;/year&gt;&lt;/dates&gt;&lt;pub-location&gt;Bonn, Germany &lt;/pub-location&gt;&lt;publisher&gt;Intergovernmental Science-Policy Platform on Biodiversity and Ecosystem Services&lt;/publisher&gt;&lt;urls&gt;&lt;/urls&gt;&lt;/record&gt;&lt;/Cite&gt;&lt;/EndNote&gt;</w:instrText>
      </w:r>
      <w:r w:rsidRPr="00D14B4E">
        <w:rPr>
          <w:rFonts w:cs="Arial"/>
          <w:sz w:val="20"/>
        </w:rPr>
        <w:fldChar w:fldCharType="separate"/>
      </w:r>
      <w:r w:rsidRPr="00D14B4E">
        <w:rPr>
          <w:rFonts w:cs="Arial"/>
          <w:sz w:val="20"/>
        </w:rPr>
        <w:t>(IPBES, 2015)</w:t>
      </w:r>
      <w:r w:rsidRPr="00D14B4E">
        <w:rPr>
          <w:rFonts w:cs="Arial"/>
          <w:sz w:val="20"/>
        </w:rPr>
        <w:fldChar w:fldCharType="end"/>
      </w:r>
      <w:r w:rsidRPr="00D14B4E">
        <w:rPr>
          <w:rFonts w:cs="Arial"/>
          <w:sz w:val="20"/>
        </w:rPr>
        <w:t xml:space="preserve">. In communities engaged in social-ecological systems it might be possible to introduce the notion of ES at an early stage as participants will already have a good familiarity with the functions of the natural environment, albeit one that might not readily conform to the provider-recipient relationship assumed by the ES concept. In other cases where people’s familiarity with the natural environment is principally realised through amenity, it could be difficult to commence with a concept that could be judged to be unfamiliar or complex. It can also be challenging to disentangle cultural or other ES from non-environmental factors </w:t>
      </w:r>
      <w:r w:rsidRPr="00D14B4E">
        <w:rPr>
          <w:rFonts w:cs="Arial"/>
          <w:sz w:val="20"/>
        </w:rPr>
        <w:fldChar w:fldCharType="begin">
          <w:fldData xml:space="preserve">PEVuZE5vdGU+PENpdGU+PEF1dGhvcj5LdW1hcjwvQXV0aG9yPjxZZWFyPjIwMDg8L1llYXI+PFJl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</w:fldData>
        </w:fldChar>
      </w:r>
      <w:r w:rsidRPr="00D14B4E">
        <w:rPr>
          <w:rFonts w:cs="Arial"/>
          <w:sz w:val="20"/>
        </w:rPr>
        <w:instrText xml:space="preserve"> ADDIN EN.CITE </w:instrText>
      </w:r>
      <w:r w:rsidRPr="00D14B4E">
        <w:rPr>
          <w:rFonts w:cs="Arial"/>
          <w:sz w:val="20"/>
        </w:rPr>
        <w:fldChar w:fldCharType="begin">
          <w:fldData xml:space="preserve">PEVuZE5vdGU+PENpdGU+PEF1dGhvcj5LdW1hcjwvQXV0aG9yPjxZZWFyPjIwMDg8L1llYXI+PFJl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</w:fldData>
        </w:fldChar>
      </w:r>
      <w:r w:rsidRPr="00D14B4E">
        <w:rPr>
          <w:rFonts w:cs="Arial"/>
          <w:sz w:val="20"/>
        </w:rPr>
        <w:instrText xml:space="preserve"> ADDIN EN.CITE.DATA </w:instrText>
      </w:r>
      <w:r w:rsidRPr="00D14B4E">
        <w:rPr>
          <w:rFonts w:cs="Arial"/>
          <w:sz w:val="20"/>
        </w:rPr>
      </w:r>
      <w:r w:rsidRPr="00D14B4E">
        <w:rPr>
          <w:rFonts w:cs="Arial"/>
          <w:sz w:val="20"/>
        </w:rPr>
        <w:fldChar w:fldCharType="end"/>
      </w:r>
      <w:r w:rsidRPr="00D14B4E">
        <w:rPr>
          <w:rFonts w:cs="Arial"/>
          <w:sz w:val="20"/>
        </w:rPr>
      </w:r>
      <w:r w:rsidRPr="00D14B4E">
        <w:rPr>
          <w:rFonts w:cs="Arial"/>
          <w:sz w:val="20"/>
        </w:rPr>
        <w:fldChar w:fldCharType="separate"/>
      </w:r>
      <w:r w:rsidRPr="00D14B4E">
        <w:rPr>
          <w:rFonts w:cs="Arial"/>
          <w:sz w:val="20"/>
        </w:rPr>
        <w:t>(Bieling et al., 2014; Kumar and Kumar, 2008)</w:t>
      </w:r>
      <w:r w:rsidRPr="00D14B4E">
        <w:rPr>
          <w:rFonts w:cs="Arial"/>
          <w:sz w:val="20"/>
        </w:rPr>
        <w:fldChar w:fldCharType="end"/>
      </w:r>
      <w:r w:rsidRPr="00D14B4E">
        <w:rPr>
          <w:rFonts w:cs="Arial"/>
          <w:sz w:val="20"/>
        </w:rPr>
        <w:t xml:space="preserve">. In these cases, it might be better to commence the deliberation with a discussion of benefits provided by the environment or issues that people have with the management of the environment before introducing the ES concept. </w:t>
      </w:r>
    </w:p>
    <w:p w:rsidR="003F789A" w:rsidRPr="00D14B4E" w:rsidRDefault="003F789A" w:rsidP="00AD0F4B">
      <w:pPr>
        <w:rPr>
          <w:rFonts w:cs="Arial"/>
          <w:sz w:val="20"/>
        </w:rPr>
      </w:pPr>
    </w:p>
    <w:p w:rsidR="003F789A" w:rsidRPr="00931193" w:rsidRDefault="003F789A" w:rsidP="0032165B">
      <w:pPr>
        <w:pStyle w:val="Heading2"/>
        <w:widowControl w:val="0"/>
        <w:numPr>
          <w:ilvl w:val="1"/>
          <w:numId w:val="31"/>
        </w:numPr>
        <w:ind w:left="851" w:hanging="851"/>
        <w:rPr>
          <w:rFonts w:ascii="Arial Bold" w:hAnsi="Arial Bold"/>
          <w:color w:val="00B050"/>
        </w:rPr>
      </w:pPr>
      <w:bookmarkStart w:id="37" w:name="_Toc436757139"/>
      <w:bookmarkStart w:id="38" w:name="_Toc436758078"/>
      <w:bookmarkStart w:id="39" w:name="_Toc436915602"/>
      <w:bookmarkStart w:id="40" w:name="_Toc436916043"/>
      <w:r w:rsidRPr="00931193">
        <w:rPr>
          <w:rFonts w:ascii="Arial Bold" w:hAnsi="Arial Bold"/>
          <w:color w:val="00B050"/>
        </w:rPr>
        <w:lastRenderedPageBreak/>
        <w:t>Socio-cultural valuation in this deliverable</w:t>
      </w:r>
      <w:bookmarkEnd w:id="37"/>
      <w:bookmarkEnd w:id="38"/>
      <w:bookmarkEnd w:id="39"/>
      <w:bookmarkEnd w:id="40"/>
    </w:p>
    <w:p w:rsidR="003F789A" w:rsidRPr="00D14B4E" w:rsidRDefault="003F789A" w:rsidP="004E1046">
      <w:pPr>
        <w:keepNext/>
        <w:widowControl w:val="0"/>
        <w:rPr>
          <w:rFonts w:cs="Arial"/>
          <w:sz w:val="20"/>
        </w:rPr>
      </w:pPr>
    </w:p>
    <w:p w:rsidR="003F789A" w:rsidRDefault="003F789A" w:rsidP="004E1046">
      <w:pPr>
        <w:keepNext/>
        <w:widowControl w:val="0"/>
        <w:rPr>
          <w:rFonts w:cs="Arial"/>
          <w:sz w:val="20"/>
        </w:rPr>
      </w:pPr>
      <w:r w:rsidRPr="00D14B4E">
        <w:rPr>
          <w:rFonts w:cs="Arial"/>
          <w:sz w:val="20"/>
        </w:rPr>
        <w:t>In this deliverable</w:t>
      </w:r>
      <w:r>
        <w:rPr>
          <w:rFonts w:cs="Arial"/>
          <w:sz w:val="20"/>
        </w:rPr>
        <w:t xml:space="preserve"> report, we present a variety of methods that have been used in the OPERAs project to examine socio-cultural values or to draw on these values for the purpose of informing environmental or planning policy. The next deliverable chapter introduces two examples of multi-dimensional methods that have used a combination of more interviews and analytical methods, including choice experiments, and scoring, weighting and cluster analysis, to examine the contribution of socio-cultural values to the selection of alternative future scenarios. The following chapter discusses the inclusion of ES in mapping and participatory mapping and compares the results with more conventional approaches to landscape preference assessment. The final chapter presents two more applications of SCV, one more multi-dimensional in that it uses a combination of interviews and choice experiments, and the other an example of the use of deliberation to explore the nature of fundamental socio-cultural values associated with a coastal environment.  </w:t>
      </w:r>
    </w:p>
    <w:p w:rsidR="003F789A" w:rsidRDefault="003F789A" w:rsidP="004E1046">
      <w:pPr>
        <w:keepNext/>
        <w:widowControl w:val="0"/>
        <w:rPr>
          <w:rFonts w:cs="Arial"/>
          <w:sz w:val="20"/>
        </w:rPr>
      </w:pPr>
    </w:p>
    <w:p w:rsidR="003F789A" w:rsidRDefault="003F789A" w:rsidP="004E1046">
      <w:pPr>
        <w:keepNext/>
        <w:widowControl w:val="0"/>
        <w:rPr>
          <w:rFonts w:cs="Arial"/>
          <w:sz w:val="20"/>
        </w:rPr>
      </w:pPr>
      <w:r>
        <w:rPr>
          <w:rFonts w:cs="Arial"/>
          <w:sz w:val="20"/>
        </w:rPr>
        <w:t xml:space="preserve">Each of the methods overlaps in various ways. Varying use is made of consultation in the respective approaches to stakeholder engagement. More than one of the studies makes use of participatory mapping. The methods are not exclusive. Some of the studies relate to work that is on-going and which is expected to make greater use of multi-criteria analysis or of the TESSA scenario </w:t>
      </w:r>
      <w:proofErr w:type="spellStart"/>
      <w:r>
        <w:rPr>
          <w:rFonts w:cs="Arial"/>
          <w:sz w:val="20"/>
        </w:rPr>
        <w:t>analysisas</w:t>
      </w:r>
      <w:proofErr w:type="spellEnd"/>
      <w:r>
        <w:rPr>
          <w:rFonts w:cs="Arial"/>
          <w:sz w:val="20"/>
        </w:rPr>
        <w:t xml:space="preserve"> the projects progress.  </w:t>
      </w:r>
    </w:p>
    <w:p w:rsidR="003F789A" w:rsidRDefault="003F789A" w:rsidP="004E1046">
      <w:pPr>
        <w:keepNext/>
        <w:widowControl w:val="0"/>
        <w:rPr>
          <w:rFonts w:cs="Arial"/>
          <w:sz w:val="20"/>
        </w:rPr>
      </w:pPr>
    </w:p>
    <w:p w:rsidR="003F789A" w:rsidRPr="00AE35C4" w:rsidRDefault="003F789A" w:rsidP="00AD0F4B">
      <w:pPr>
        <w:spacing w:after="120"/>
        <w:rPr>
          <w:rFonts w:cs="Arial"/>
          <w:sz w:val="20"/>
        </w:rPr>
      </w:pPr>
    </w:p>
    <w:p w:rsidR="003F789A" w:rsidRPr="00931193" w:rsidRDefault="003F789A" w:rsidP="0032165B">
      <w:pPr>
        <w:pStyle w:val="Heading2"/>
        <w:numPr>
          <w:ilvl w:val="1"/>
          <w:numId w:val="31"/>
        </w:numPr>
        <w:ind w:left="851" w:hanging="851"/>
        <w:rPr>
          <w:rFonts w:ascii="Arial Bold" w:hAnsi="Arial Bold"/>
          <w:color w:val="00B050"/>
        </w:rPr>
      </w:pPr>
      <w:bookmarkStart w:id="41" w:name="_Toc436757140"/>
      <w:bookmarkStart w:id="42" w:name="_Toc436758079"/>
      <w:bookmarkStart w:id="43" w:name="_Toc436915603"/>
      <w:bookmarkStart w:id="44" w:name="_Toc436916044"/>
      <w:r w:rsidRPr="00931193">
        <w:rPr>
          <w:rFonts w:ascii="Arial Bold" w:hAnsi="Arial Bold"/>
          <w:color w:val="00B050"/>
        </w:rPr>
        <w:t>References</w:t>
      </w:r>
      <w:bookmarkEnd w:id="41"/>
      <w:bookmarkEnd w:id="42"/>
      <w:bookmarkEnd w:id="43"/>
      <w:bookmarkEnd w:id="44"/>
    </w:p>
    <w:p w:rsidR="003F789A" w:rsidRPr="00AE35C4" w:rsidRDefault="003F789A" w:rsidP="00AD0F4B">
      <w:pPr>
        <w:spacing w:after="120"/>
        <w:rPr>
          <w:rFonts w:cs="Arial"/>
          <w:sz w:val="20"/>
        </w:rPr>
      </w:pPr>
    </w:p>
    <w:p w:rsidR="003F789A" w:rsidRPr="008204E5" w:rsidRDefault="003F789A" w:rsidP="00474914">
      <w:pPr>
        <w:spacing w:after="120" w:line="240" w:lineRule="auto"/>
        <w:ind w:left="567" w:hanging="567"/>
        <w:rPr>
          <w:rFonts w:cs="Arial"/>
          <w:sz w:val="20"/>
          <w:szCs w:val="18"/>
        </w:rPr>
      </w:pPr>
      <w:r w:rsidRPr="008204E5">
        <w:rPr>
          <w:rFonts w:cs="Arial"/>
          <w:sz w:val="20"/>
        </w:rPr>
        <w:fldChar w:fldCharType="begin"/>
      </w:r>
      <w:r w:rsidRPr="008204E5">
        <w:rPr>
          <w:rFonts w:cs="Arial"/>
          <w:sz w:val="20"/>
        </w:rPr>
        <w:instrText xml:space="preserve"> ADDIN EN.REFLIST </w:instrText>
      </w:r>
      <w:r w:rsidRPr="008204E5">
        <w:rPr>
          <w:rFonts w:cs="Arial"/>
          <w:sz w:val="20"/>
        </w:rPr>
        <w:fldChar w:fldCharType="separate"/>
      </w:r>
      <w:r w:rsidRPr="008204E5">
        <w:rPr>
          <w:rFonts w:cs="Arial"/>
          <w:sz w:val="20"/>
          <w:szCs w:val="18"/>
        </w:rPr>
        <w:t>Alessa, L., Kliskey, A., Brown, G., 2008. Socio-ecological hotspot mapping: A spatial aprpaoch to identifying coupled social-ecological space. Landscape and Urban Planning 85, 27-39.</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Alvarez-Farizo, B., Hanley, N., 2006. Improving the process of valuing non-market benefits; combining citizens' juries with choice modelling. Land Economics 82, 465-478.</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Berger, P., Luckmann, T., 1967. The Social Construction of Reality. A Treatise in the Sociology of Knowledge. Penguin Books, London.</w:t>
      </w:r>
    </w:p>
    <w:p w:rsidR="003F789A" w:rsidRPr="008204E5" w:rsidRDefault="003F789A" w:rsidP="00474914">
      <w:pPr>
        <w:spacing w:after="120" w:line="240" w:lineRule="auto"/>
        <w:ind w:left="567" w:hanging="567"/>
        <w:rPr>
          <w:rFonts w:cs="Arial"/>
          <w:sz w:val="20"/>
          <w:szCs w:val="18"/>
        </w:rPr>
      </w:pPr>
      <w:r w:rsidRPr="008204E5">
        <w:rPr>
          <w:rFonts w:cs="Arial"/>
          <w:sz w:val="20"/>
          <w:szCs w:val="18"/>
          <w:lang w:val="nl-NL"/>
        </w:rPr>
        <w:t xml:space="preserve">Bieling, C., Plieninger, T., Pirker, H., Vogl, C.R., 2014. </w:t>
      </w:r>
      <w:r w:rsidRPr="008204E5">
        <w:rPr>
          <w:rFonts w:cs="Arial"/>
          <w:sz w:val="20"/>
          <w:szCs w:val="18"/>
        </w:rPr>
        <w:t>Linkages between landscapes and human well-being: An empirical exploration with short interviews. Ecological Economics 105, 19-29.</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Caceras, D.M., Tapella, E., Quetier, F., Diaz, S., 2015. The social value of biodiversity and ecosystem services from the perspectives of different social actors. Ecology and Society 20.</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Chan, K.M.A., Guerry, A.D., Balvanera, P., Klain, S., Satterfield, T., Basurto, X., Bostrom, A.N.N., Chuenpagdee, R., Gould, R., Halpern, B.S., Hannahs, N., Levine, J., Norton, B., Ruckelshaus, M., Russell, R., Tam, J., Woodside, U., 2012. Where are Cultural and Social in Ecosystem Services? A Framework for Constructive Engagement. BioScience 62, 744-756.</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Church, A., Burgess, J., Ravenscroft, N., 2011. Cultural Ecosystem Services, UK National Ecosystem Assessment (UK NEA).</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Daily, G., Soderqvist, T., Aniyar, S., Arrow, L., Dasgupta, P., Ehrlich, P.R., Folke, C., Jansson, A.-M., Jansson, B.-O., Kautsky, N., Levin, S., Lubchenco, J., Maler, K.-G., Simpson, D., Starrett, D., Tilman, D., Walker, B., 2000 The value of nature and the nature of value. Science 289, 395-</w:t>
      </w:r>
      <w:r>
        <w:rPr>
          <w:rFonts w:cs="Arial"/>
          <w:sz w:val="20"/>
          <w:szCs w:val="18"/>
        </w:rPr>
        <w:t>3</w:t>
      </w:r>
      <w:r w:rsidRPr="008204E5">
        <w:rPr>
          <w:rFonts w:cs="Arial"/>
          <w:sz w:val="20"/>
          <w:szCs w:val="18"/>
        </w:rPr>
        <w:t>96</w:t>
      </w:r>
    </w:p>
    <w:p w:rsidR="003F789A" w:rsidRPr="008204E5" w:rsidRDefault="003F789A" w:rsidP="00474914">
      <w:pPr>
        <w:spacing w:after="120" w:line="240" w:lineRule="auto"/>
        <w:ind w:left="567" w:hanging="567"/>
        <w:rPr>
          <w:rFonts w:cs="Arial"/>
          <w:sz w:val="20"/>
          <w:szCs w:val="18"/>
        </w:rPr>
      </w:pPr>
      <w:r w:rsidRPr="008125BB">
        <w:rPr>
          <w:rFonts w:cs="Arial"/>
          <w:sz w:val="20"/>
          <w:szCs w:val="18"/>
          <w:lang w:val="en-US"/>
        </w:rPr>
        <w:t xml:space="preserve">de Groot, R.S., Wilson, M.A., Boumans, R.M.J., 2002. </w:t>
      </w:r>
      <w:r w:rsidRPr="008204E5">
        <w:rPr>
          <w:rFonts w:cs="Arial"/>
          <w:sz w:val="20"/>
          <w:szCs w:val="18"/>
        </w:rPr>
        <w:t>A typology for the classification, description and valuation of ecosystem functions, goods and services. Ecological Economics 41, 393-408.</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lastRenderedPageBreak/>
        <w:t>Farber, S.C., Constanza, R., Wilson, M.A., 2002. Economic and ecological concepts for valuing ecosystem services. Ecological Economics 41, 375-392.</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Georgescu-Roegen, N., 1971. The Entropy Law and the Economic Process. Harvard University Press, Cambridge, MA.</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Gould, R.R., Klain, S.C., Ardoin, N.M., Satterfield, T., Woodside, U., Hannahs, N., Daily, G.C., 2014. A protocol for eliciting nonmaterial values through a cultural ecosystem services frame. Conservation Biology 29, 575-586.</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Gowdy, J.M., Mayumi, K., 2001. Reformulating the foundations of consumer choice theory and environmental valuation. Ecological Values 39, 223-237.</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Haines-Young, R., Potschin, M., 2014. The ecosystem approach as a framework for understanding knowledge utilisation. Environment and Planning C 32, 301-319.</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Hanemann, M., 1994. Valuing the environment through contingent valuation. Journal of Environmental Perspectives 8.</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Hill, C.A., 2008. The rationality of preference construction (and the irrationality of rational choice). Minnesota Journal of Law, Science and Technology 9, 689-742.</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 xml:space="preserve">IPBES, 2015. Preliminary guide regarding diverse conceptualization of multiple values of nature and its benefits, including biodiversity and ecosystem functions and services. Draft 29 December 2014. Intergovernmental Science-Policy Platform on Biodiversity and Ecosystem Services, Bonn, Germany </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Jax, K.e.a., 2013. Ecosystem services and ethics. Ecological Economics 93, 260-268.</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Kenter, J.O., 2014. Valuing the Inner Forth: Final Report to the Inner Forth Landscape Initiative. IFLI/University of Aberdeen, Falkirk/Aberdeen, Scotland.</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Kenyon, W., Nevin, C., Hanley, N., 2003. Enhancing environmental decision-making using citizens' juries. Local Environment 8, 221-232.</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Kumar, M., Kumar, P., 2008. Valuation of the ecosystem services: A psycho-cultural perspective. Ecological Economics 64.</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Lo, A.Y., 2011. Analysis and democracy: the antecedents of the deliberative approach of ecosystems valuation. Environment and Planning C 29, 958-974.</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Lockwood, M., 1999. Humans valuing nature: Synthesising insights from philosophy, psychology and economics. Environmental Values 8, 381-401.</w:t>
      </w:r>
    </w:p>
    <w:p w:rsidR="003F789A" w:rsidRPr="008204E5" w:rsidRDefault="003F789A" w:rsidP="00474914">
      <w:pPr>
        <w:spacing w:after="120" w:line="240" w:lineRule="auto"/>
        <w:ind w:left="567" w:hanging="567"/>
        <w:rPr>
          <w:rFonts w:cs="Arial"/>
          <w:sz w:val="20"/>
          <w:szCs w:val="18"/>
        </w:rPr>
      </w:pPr>
      <w:r w:rsidRPr="008204E5">
        <w:rPr>
          <w:rFonts w:cs="Arial"/>
          <w:sz w:val="20"/>
          <w:szCs w:val="18"/>
        </w:rPr>
        <w:t>Martinez-Alier, J., Munda, G., O'Neill, J., 1998. Weak comparability of values as a foundation for ecological economics. Ecological Economics 26, 277-286.</w:t>
      </w:r>
    </w:p>
    <w:p w:rsidR="003F789A" w:rsidRPr="008204E5" w:rsidRDefault="003F789A" w:rsidP="00474914">
      <w:pPr>
        <w:spacing w:after="120" w:line="240" w:lineRule="auto"/>
        <w:ind w:left="567" w:hanging="567"/>
        <w:rPr>
          <w:rFonts w:cs="Arial"/>
          <w:sz w:val="20"/>
        </w:rPr>
      </w:pPr>
      <w:r w:rsidRPr="008204E5">
        <w:rPr>
          <w:rFonts w:cs="Arial"/>
          <w:sz w:val="20"/>
        </w:rPr>
        <w:t>Plieninger, T., Dijks, S., Oteros-rozas, E., Bieling, C., 2013. Assessing, mapping and quantifying cultural ecosystem services at community level. Land Use Policy 33, 118-129.</w:t>
      </w:r>
    </w:p>
    <w:p w:rsidR="003F789A" w:rsidRPr="008204E5" w:rsidRDefault="003F789A" w:rsidP="00474914">
      <w:pPr>
        <w:spacing w:after="120" w:line="240" w:lineRule="auto"/>
        <w:ind w:left="567" w:hanging="567"/>
        <w:rPr>
          <w:rFonts w:cs="Arial"/>
          <w:sz w:val="20"/>
        </w:rPr>
      </w:pPr>
      <w:r w:rsidRPr="008204E5">
        <w:rPr>
          <w:rFonts w:cs="Arial"/>
          <w:sz w:val="20"/>
        </w:rPr>
        <w:t>Radovich, J., 1981. The collapse of the California sardine fishery. What have we learned?, in: Glantz, M.H., Thompson, J.D. (Eds.), Resource management and environmental uncertainty: lessons from coastal upwelling fisheries. Wiley, New York.</w:t>
      </w:r>
    </w:p>
    <w:p w:rsidR="003F789A" w:rsidRPr="008204E5" w:rsidRDefault="003F789A" w:rsidP="00474914">
      <w:pPr>
        <w:spacing w:after="120" w:line="240" w:lineRule="auto"/>
        <w:ind w:left="567" w:hanging="567"/>
        <w:rPr>
          <w:rFonts w:cs="Arial"/>
          <w:sz w:val="20"/>
        </w:rPr>
      </w:pPr>
      <w:r w:rsidRPr="008204E5">
        <w:rPr>
          <w:rFonts w:cs="Arial"/>
          <w:sz w:val="20"/>
        </w:rPr>
        <w:t>Raymond, C.M., Bryan, B.A., MacDonald, D.H., Cast, A., Strathearn, S., Grandgirard, A., Kalivas, T., 2009. Mapping community values for natural capital and ecosystem services. Ecological Economics 68, 1301-1315.</w:t>
      </w:r>
    </w:p>
    <w:p w:rsidR="003F789A" w:rsidRPr="008204E5" w:rsidRDefault="003F789A" w:rsidP="00474914">
      <w:pPr>
        <w:spacing w:after="120" w:line="240" w:lineRule="auto"/>
        <w:ind w:left="567" w:hanging="567"/>
        <w:rPr>
          <w:rFonts w:cs="Arial"/>
          <w:sz w:val="20"/>
        </w:rPr>
      </w:pPr>
      <w:r w:rsidRPr="008204E5">
        <w:rPr>
          <w:rFonts w:cs="Arial"/>
          <w:sz w:val="20"/>
        </w:rPr>
        <w:t>Sagoff, M., 1988. The Economy of the Earth: Philosophy, Law and the Environment. Cambridge University Press, Cambridge.</w:t>
      </w:r>
    </w:p>
    <w:p w:rsidR="003F789A" w:rsidRPr="008204E5" w:rsidRDefault="003F789A" w:rsidP="00474914">
      <w:pPr>
        <w:spacing w:after="120" w:line="240" w:lineRule="auto"/>
        <w:ind w:left="567" w:hanging="567"/>
        <w:rPr>
          <w:rFonts w:cs="Arial"/>
          <w:sz w:val="20"/>
          <w:lang w:val="nl-NL"/>
        </w:rPr>
      </w:pPr>
      <w:r w:rsidRPr="008204E5">
        <w:rPr>
          <w:rFonts w:cs="Arial"/>
          <w:sz w:val="20"/>
        </w:rPr>
        <w:t xml:space="preserve">Sagoff, M., 2008. On the economic value of ecosystem services. </w:t>
      </w:r>
      <w:r w:rsidRPr="008204E5">
        <w:rPr>
          <w:rFonts w:cs="Arial"/>
          <w:sz w:val="20"/>
          <w:lang w:val="nl-NL"/>
        </w:rPr>
        <w:t>Environmental Values 17, 239-257.</w:t>
      </w:r>
    </w:p>
    <w:p w:rsidR="003F789A" w:rsidRPr="008204E5" w:rsidRDefault="003F789A" w:rsidP="00474914">
      <w:pPr>
        <w:spacing w:after="120" w:line="240" w:lineRule="auto"/>
        <w:ind w:left="567" w:hanging="567"/>
        <w:rPr>
          <w:rFonts w:cs="Arial"/>
          <w:sz w:val="20"/>
        </w:rPr>
      </w:pPr>
      <w:r w:rsidRPr="008204E5">
        <w:rPr>
          <w:rFonts w:cs="Arial"/>
          <w:sz w:val="20"/>
          <w:lang w:val="nl-NL"/>
        </w:rPr>
        <w:t xml:space="preserve">Scholte, S.S.K., van Teeffelen, A.J.A.v., Verburg, P.H., 2014. </w:t>
      </w:r>
      <w:r w:rsidRPr="008204E5">
        <w:rPr>
          <w:rFonts w:cs="Arial"/>
          <w:sz w:val="20"/>
        </w:rPr>
        <w:t>Integrating socio-cultural perspectives into ecosystem service valuation: a review of concepts and methodologies. Ecological Economics.</w:t>
      </w:r>
    </w:p>
    <w:p w:rsidR="003F789A" w:rsidRPr="008204E5" w:rsidRDefault="003F789A" w:rsidP="00474914">
      <w:pPr>
        <w:spacing w:after="120" w:line="240" w:lineRule="auto"/>
        <w:ind w:left="567" w:hanging="567"/>
        <w:rPr>
          <w:rFonts w:cs="Arial"/>
          <w:sz w:val="20"/>
        </w:rPr>
      </w:pPr>
      <w:r w:rsidRPr="008204E5">
        <w:rPr>
          <w:rFonts w:cs="Arial"/>
          <w:sz w:val="20"/>
        </w:rPr>
        <w:t>Sen, A.K., 1973. Behaviour and the concept of preference. Economica 40, 241-259.</w:t>
      </w:r>
    </w:p>
    <w:p w:rsidR="003F789A" w:rsidRPr="008204E5" w:rsidRDefault="003F789A" w:rsidP="00474914">
      <w:pPr>
        <w:spacing w:after="120" w:line="240" w:lineRule="auto"/>
        <w:ind w:left="567" w:hanging="567"/>
        <w:rPr>
          <w:rFonts w:cs="Arial"/>
          <w:sz w:val="20"/>
        </w:rPr>
      </w:pPr>
      <w:r w:rsidRPr="008204E5">
        <w:rPr>
          <w:rFonts w:cs="Arial"/>
          <w:sz w:val="20"/>
        </w:rPr>
        <w:lastRenderedPageBreak/>
        <w:t>Simon, H., 1979. From substantive to procedural rationality, in: Hahn, F., Hollis, M. (Eds.), Philosophy and Economic Theory.</w:t>
      </w:r>
    </w:p>
    <w:p w:rsidR="003F789A" w:rsidRPr="008204E5" w:rsidRDefault="003F789A" w:rsidP="00474914">
      <w:pPr>
        <w:spacing w:after="120" w:line="240" w:lineRule="auto"/>
        <w:ind w:left="567" w:hanging="567"/>
        <w:rPr>
          <w:rFonts w:cs="Arial"/>
          <w:sz w:val="20"/>
        </w:rPr>
      </w:pPr>
      <w:r w:rsidRPr="008204E5">
        <w:rPr>
          <w:rFonts w:cs="Arial"/>
          <w:sz w:val="20"/>
        </w:rPr>
        <w:t>Singh, A.K., 2015. Social Psychology. PHI Learning Private Limited, Delhi.</w:t>
      </w:r>
    </w:p>
    <w:p w:rsidR="003F789A" w:rsidRPr="008204E5" w:rsidRDefault="003F789A" w:rsidP="00474914">
      <w:pPr>
        <w:spacing w:after="120" w:line="240" w:lineRule="auto"/>
        <w:ind w:left="567" w:hanging="567"/>
        <w:rPr>
          <w:rFonts w:cs="Arial"/>
          <w:sz w:val="20"/>
        </w:rPr>
      </w:pPr>
      <w:r w:rsidRPr="008204E5">
        <w:rPr>
          <w:rFonts w:cs="Arial"/>
          <w:sz w:val="20"/>
        </w:rPr>
        <w:t>Smith, G., Wales, C., 1990. The theory and practice of citizens' juries. Policy and Politics 27, 295-308.</w:t>
      </w:r>
    </w:p>
    <w:p w:rsidR="003F789A" w:rsidRPr="008204E5" w:rsidRDefault="003F789A" w:rsidP="00474914">
      <w:pPr>
        <w:spacing w:after="120" w:line="240" w:lineRule="auto"/>
        <w:ind w:left="567" w:hanging="567"/>
        <w:rPr>
          <w:rFonts w:cs="Arial"/>
          <w:sz w:val="20"/>
        </w:rPr>
      </w:pPr>
      <w:r w:rsidRPr="008204E5">
        <w:rPr>
          <w:rFonts w:cs="Arial"/>
          <w:sz w:val="20"/>
        </w:rPr>
        <w:t>Spash, C.L., 2007. Deliberative monetary valuation (DMV): Issues in combining economic and political processes to value environmental change. . Ecological Economics 63, 690-699.</w:t>
      </w:r>
    </w:p>
    <w:p w:rsidR="003F789A" w:rsidRPr="008204E5" w:rsidRDefault="003F789A" w:rsidP="00474914">
      <w:pPr>
        <w:spacing w:after="120" w:line="240" w:lineRule="auto"/>
        <w:ind w:left="567" w:hanging="567"/>
        <w:rPr>
          <w:rFonts w:cs="Arial"/>
          <w:sz w:val="20"/>
        </w:rPr>
      </w:pPr>
      <w:r w:rsidRPr="008204E5">
        <w:rPr>
          <w:rFonts w:cs="Arial"/>
          <w:sz w:val="20"/>
        </w:rPr>
        <w:t>Thrift, N., Whatmore, S., 2004. Cultural Geography: Critical Concepts in the Social Sciences. Routledge, London and New York.</w:t>
      </w:r>
    </w:p>
    <w:p w:rsidR="003F789A" w:rsidRPr="008204E5" w:rsidRDefault="003F789A" w:rsidP="00474914">
      <w:pPr>
        <w:spacing w:after="120" w:line="240" w:lineRule="auto"/>
        <w:ind w:left="567" w:hanging="567"/>
        <w:rPr>
          <w:rFonts w:cs="Arial"/>
          <w:sz w:val="20"/>
        </w:rPr>
      </w:pPr>
      <w:r w:rsidRPr="008204E5">
        <w:rPr>
          <w:rFonts w:cs="Arial"/>
          <w:sz w:val="20"/>
        </w:rPr>
        <w:t>van Berkel, D.B., Verburg, P.H., 2013. Spatial quantification and valaution of cultural ecosystem services in an agricultural landscape Ecological Indicators.</w:t>
      </w:r>
    </w:p>
    <w:p w:rsidR="003F789A" w:rsidRPr="008204E5" w:rsidRDefault="003F789A" w:rsidP="00474914">
      <w:pPr>
        <w:spacing w:after="120" w:line="240" w:lineRule="auto"/>
        <w:ind w:left="567" w:hanging="567"/>
        <w:rPr>
          <w:rFonts w:cs="Arial"/>
          <w:sz w:val="20"/>
        </w:rPr>
      </w:pPr>
      <w:r w:rsidRPr="008204E5">
        <w:rPr>
          <w:rFonts w:cs="Arial"/>
          <w:sz w:val="20"/>
        </w:rPr>
        <w:t>Vatn, A., 2009. An institutional analysis of methods for environmental appraisal. Ecological Economics 58, 2207-2215.</w:t>
      </w:r>
    </w:p>
    <w:p w:rsidR="003F789A" w:rsidRPr="008204E5" w:rsidRDefault="003F789A" w:rsidP="00474914">
      <w:pPr>
        <w:spacing w:after="120" w:line="240" w:lineRule="auto"/>
        <w:ind w:left="567" w:hanging="567"/>
        <w:rPr>
          <w:rFonts w:cs="Arial"/>
          <w:sz w:val="20"/>
        </w:rPr>
      </w:pPr>
      <w:r w:rsidRPr="008204E5">
        <w:rPr>
          <w:rFonts w:cs="Arial"/>
          <w:sz w:val="20"/>
        </w:rPr>
        <w:t>Wilson, M.A., Howarth, R.B., 2002. Discourse-based valuation of ecosystem services: establishing fair outcomes through group deliberation. Ecological Economics 41, 431-443.</w:t>
      </w:r>
    </w:p>
    <w:p w:rsidR="003F789A" w:rsidRPr="008204E5" w:rsidRDefault="003F789A" w:rsidP="00474914">
      <w:pPr>
        <w:spacing w:after="120" w:line="240" w:lineRule="auto"/>
        <w:ind w:left="567" w:hanging="567"/>
        <w:rPr>
          <w:rFonts w:cs="Arial"/>
          <w:sz w:val="20"/>
        </w:rPr>
      </w:pPr>
      <w:r w:rsidRPr="008204E5">
        <w:rPr>
          <w:rFonts w:cs="Arial"/>
          <w:sz w:val="20"/>
        </w:rPr>
        <w:t>Winkler, R., 2006. Valuation of ecosystem goods and services: Part 1: An integrated dynamic approach. Ecological Economics 59, 82-93.</w:t>
      </w:r>
    </w:p>
    <w:p w:rsidR="003F789A" w:rsidRPr="008204E5" w:rsidRDefault="003F789A" w:rsidP="004E1046">
      <w:pPr>
        <w:spacing w:after="120" w:line="240" w:lineRule="auto"/>
        <w:ind w:left="567" w:hanging="567"/>
        <w:rPr>
          <w:rFonts w:cs="Arial"/>
          <w:sz w:val="20"/>
        </w:rPr>
      </w:pPr>
      <w:r w:rsidRPr="008204E5">
        <w:rPr>
          <w:rFonts w:cs="Arial"/>
          <w:sz w:val="20"/>
        </w:rPr>
        <w:t>Zafonte, M., Hampton, S., 2007. Exploring welfare implications of resource equivalency in natural resource damage assessments. Ecological Economics, 134-145.</w:t>
      </w:r>
    </w:p>
    <w:p w:rsidR="003F789A" w:rsidRDefault="003F789A" w:rsidP="004E1046">
      <w:pPr>
        <w:spacing w:after="120" w:line="240" w:lineRule="auto"/>
      </w:pPr>
      <w:r w:rsidRPr="008204E5">
        <w:rPr>
          <w:rFonts w:cs="Arial"/>
          <w:sz w:val="20"/>
        </w:rPr>
        <w:fldChar w:fldCharType="end"/>
      </w:r>
    </w:p>
    <w:p w:rsidR="003F789A" w:rsidRDefault="003F789A" w:rsidP="00BD5483">
      <w:pPr>
        <w:pStyle w:val="Heading1"/>
        <w:numPr>
          <w:ilvl w:val="0"/>
          <w:numId w:val="31"/>
        </w:numPr>
        <w:ind w:hanging="788"/>
      </w:pPr>
      <w:bookmarkStart w:id="45" w:name="_Toc436757141"/>
      <w:bookmarkStart w:id="46" w:name="_Toc436758080"/>
      <w:r>
        <w:lastRenderedPageBreak/>
        <w:t xml:space="preserve"> </w:t>
      </w:r>
      <w:bookmarkStart w:id="47" w:name="_Toc436915604"/>
      <w:bookmarkStart w:id="48" w:name="_Toc436916045"/>
      <w:r>
        <w:t>Multi-dimensional socio-cultural valuation methods</w:t>
      </w:r>
      <w:bookmarkEnd w:id="45"/>
      <w:bookmarkEnd w:id="46"/>
      <w:bookmarkEnd w:id="47"/>
      <w:bookmarkEnd w:id="48"/>
    </w:p>
    <w:p w:rsidR="003F789A" w:rsidRPr="00BD5483" w:rsidRDefault="003F789A" w:rsidP="00BD5483">
      <w:pPr>
        <w:pStyle w:val="Heading2"/>
        <w:numPr>
          <w:ilvl w:val="0"/>
          <w:numId w:val="0"/>
        </w:numPr>
        <w:rPr>
          <w:rFonts w:ascii="Arial Bold" w:hAnsi="Arial Bold"/>
          <w:color w:val="339966"/>
        </w:rPr>
      </w:pPr>
      <w:bookmarkStart w:id="49" w:name="_Toc436757142"/>
      <w:bookmarkStart w:id="50" w:name="_Toc436758081"/>
      <w:bookmarkStart w:id="51" w:name="_Toc436915605"/>
      <w:bookmarkStart w:id="52" w:name="_Toc436916046"/>
      <w:r w:rsidRPr="00BD5483">
        <w:rPr>
          <w:rFonts w:ascii="Arial Bold" w:hAnsi="Arial Bold"/>
          <w:color w:val="339966"/>
        </w:rPr>
        <w:t>3.1</w:t>
      </w:r>
      <w:r w:rsidRPr="00BD5483">
        <w:rPr>
          <w:rFonts w:ascii="Arial Bold" w:hAnsi="Arial Bold"/>
          <w:color w:val="339966"/>
        </w:rPr>
        <w:tab/>
        <w:t xml:space="preserve">    Introduction</w:t>
      </w:r>
      <w:bookmarkEnd w:id="49"/>
      <w:bookmarkEnd w:id="50"/>
      <w:bookmarkEnd w:id="51"/>
      <w:bookmarkEnd w:id="52"/>
    </w:p>
    <w:p w:rsidR="003F789A" w:rsidRDefault="003F789A" w:rsidP="00857048">
      <w:pPr>
        <w:rPr>
          <w:sz w:val="20"/>
        </w:rPr>
      </w:pPr>
      <w:r w:rsidRPr="00857048">
        <w:rPr>
          <w:sz w:val="20"/>
        </w:rPr>
        <w:t>This chapter examines the merits of using a variety of multi-dimensional methods to identify, and quantify, social or socio-cultural values. As has been discussed, socio-cultural values are diverse and can be expressed by a similarly diverse range of preferences for ecosystem services. Consequently, this diversity can be best explored through the use of a range of methods. In addition to the use of deliberative methods, this chapter illustrates how non-monetary, more quantitative methods can be used to demonstrate the influence of socio-cultural values on preferences, specifically where different ecosystem services are captured within scenarios of landscape change. Visualisation methods are shown to be useful for communicating landscape changes. Methods that require survey respondents to trade-off ecosystem service preferences are examined, specifically the use of weighting methods and non-monetary choice experiments without the inclusion of an economic pricing attribute.</w:t>
      </w:r>
    </w:p>
    <w:p w:rsidR="003F789A" w:rsidRPr="00857048" w:rsidRDefault="003F789A" w:rsidP="00857048">
      <w:pPr>
        <w:rPr>
          <w:sz w:val="20"/>
        </w:rPr>
      </w:pPr>
    </w:p>
    <w:p w:rsidR="003F789A" w:rsidRPr="00857048" w:rsidRDefault="003F789A" w:rsidP="00857048">
      <w:pPr>
        <w:rPr>
          <w:sz w:val="20"/>
        </w:rPr>
      </w:pPr>
      <w:r w:rsidRPr="00857048">
        <w:rPr>
          <w:sz w:val="20"/>
        </w:rPr>
        <w:t xml:space="preserve">The chapter presents two papers that have been produced by OPERAs to examine the use of multi-dimensional methods for socio-cultural valuation.  In the first paper by Schmidt et al., the role of ecosystem services is explored through landscape preferences. The paper examines the relative value and reliability of non-monetary rating and weighting methods to identify varying preferences towards ecosystem services and landscape features.  Visitors to a natural park are presented with alternative landscape scenarios comprising nine ecosystem services. These services are rated using a five point Likert scale and these results are compared with those from a weighting exercise in which respondents had to trade-off their perceptions of the same set of ecosystem service attributes by allocating 100 points between each. A cluster analysis is applied which identifies five distinctive preference groupings. Of these, almost half of the respondents (48%) fell into the “nature lover” category, whereas “recreation seekers” comprised only 15% of the total despite the high level of recreational use.  The rating exercise identifies distinctive differences between ecosystem service preferences, but that physical use of the landscape receives distinctly more points in the weighting exercise, although preferences in this exercise are guided by a smaller number of ecosystem services. </w:t>
      </w:r>
    </w:p>
    <w:p w:rsidR="003F789A" w:rsidRDefault="003F789A" w:rsidP="00857048">
      <w:pPr>
        <w:rPr>
          <w:sz w:val="20"/>
        </w:rPr>
      </w:pPr>
    </w:p>
    <w:p w:rsidR="003F789A" w:rsidRPr="00857048" w:rsidRDefault="003F789A" w:rsidP="00857048">
      <w:pPr>
        <w:rPr>
          <w:sz w:val="20"/>
        </w:rPr>
      </w:pPr>
      <w:r w:rsidRPr="00857048">
        <w:rPr>
          <w:sz w:val="20"/>
        </w:rPr>
        <w:t xml:space="preserve">In the second paper, Scholte et al. examine the relevance of ecosystem services to the pertinent issue of environmental compensation, or offsets, specifically the planting of new woodland in compensation for new housing development in the East Lothian area of Scotland near Edinburgh. In common with the urban periphery in other European cities, the authors find that people living in this semi-rural area place a high value on the ecosystem services associated with the landscape, its wildlife and other natural features. </w:t>
      </w:r>
    </w:p>
    <w:p w:rsidR="003F789A" w:rsidRDefault="003F789A" w:rsidP="00857048">
      <w:pPr>
        <w:rPr>
          <w:sz w:val="20"/>
        </w:rPr>
      </w:pPr>
    </w:p>
    <w:p w:rsidR="003F789A" w:rsidRDefault="003F789A" w:rsidP="00857048">
      <w:pPr>
        <w:rPr>
          <w:sz w:val="20"/>
        </w:rPr>
      </w:pPr>
      <w:r w:rsidRPr="00857048">
        <w:rPr>
          <w:sz w:val="20"/>
        </w:rPr>
        <w:t xml:space="preserve">Scholte et al apply a choice experiment approach to capture people’s values for the multifunctional nature of the landscape. Visualisation is used to demonstrate potential changes to the landscape due to the addition of woodland or new houses. In addition, latent class analysis was included in the choice experiment to identify the sources of heterogeneity in the community. In recent years, heterogeneity within choice experiments has often been addressed through the use of mixed logit. However, mixed logit only identifies the variables contained within an experiment that are the source </w:t>
      </w:r>
      <w:r w:rsidRPr="00857048">
        <w:rPr>
          <w:sz w:val="20"/>
        </w:rPr>
        <w:lastRenderedPageBreak/>
        <w:t xml:space="preserve">of the heterogeneity. Latent class analysis, originally applied in this context by Boxall and </w:t>
      </w:r>
      <w:proofErr w:type="spellStart"/>
      <w:r w:rsidRPr="00857048">
        <w:rPr>
          <w:sz w:val="20"/>
        </w:rPr>
        <w:t>Adamowicz</w:t>
      </w:r>
      <w:proofErr w:type="spellEnd"/>
      <w:r w:rsidRPr="00857048">
        <w:rPr>
          <w:sz w:val="20"/>
        </w:rPr>
        <w:t xml:space="preserve"> (2002) has the merit that heterogeneous population subsets can be identified in advance using methods such as factor analysis before the heterogeneity is examined further through the use of a non-monetary choice experiment. In the current example, the latent class model showed that only two of the four population subclasses accepted the potential for woodland compensation and that these classes placed a positive value on woodlands, if not necessarily all the same types of woodland. Other groups were more reluctant to exchange land for development in return for woodland (as indicated by a low marginal rate of substitution). Scholte et al. how the latter result may be due as much to the social attitudes of the indigenous population towards new migrants, as they are to socio-cultural values associated with ecosystem services that provide for sense of place.  The paper also discusses the practical contribution of choice experiments to people’s valuation of, and association with, the landscape. As in the </w:t>
      </w:r>
      <w:proofErr w:type="spellStart"/>
      <w:r w:rsidRPr="00857048">
        <w:rPr>
          <w:sz w:val="20"/>
        </w:rPr>
        <w:t>Zanten</w:t>
      </w:r>
      <w:proofErr w:type="spellEnd"/>
      <w:r w:rsidRPr="00857048">
        <w:rPr>
          <w:sz w:val="20"/>
        </w:rPr>
        <w:t xml:space="preserve"> et al. paper, it is noted how choice experiments inevitably focus on attributes of the landscape rather than adopting a holistic perspective that could be assumed by many people. On the other hand, this approach may be well suited to ecosystem services which may tend to be associated with particular features relevant to</w:t>
      </w:r>
      <w:r>
        <w:rPr>
          <w:sz w:val="20"/>
        </w:rPr>
        <w:t xml:space="preserve"> </w:t>
      </w:r>
      <w:r w:rsidRPr="00857048">
        <w:rPr>
          <w:sz w:val="20"/>
        </w:rPr>
        <w:t xml:space="preserve">ecosystem functions such as habitats, including woodlands and types of woodlands.  </w:t>
      </w:r>
    </w:p>
    <w:p w:rsidR="003F789A" w:rsidRDefault="003F789A" w:rsidP="00857048">
      <w:pPr>
        <w:rPr>
          <w:sz w:val="20"/>
        </w:rPr>
      </w:pPr>
    </w:p>
    <w:p w:rsidR="003F789A" w:rsidRDefault="003F789A" w:rsidP="00857048">
      <w:pPr>
        <w:rPr>
          <w:sz w:val="20"/>
        </w:rPr>
      </w:pPr>
    </w:p>
    <w:p w:rsidR="003F789A" w:rsidRPr="00305C8C" w:rsidRDefault="003F789A" w:rsidP="00305C8C">
      <w:pPr>
        <w:rPr>
          <w:color w:val="4F6228"/>
          <w:sz w:val="40"/>
          <w:szCs w:val="40"/>
        </w:rPr>
      </w:pPr>
      <w:r>
        <w:br w:type="page"/>
      </w:r>
      <w:r w:rsidRPr="00305C8C">
        <w:rPr>
          <w:color w:val="4F6228"/>
          <w:sz w:val="40"/>
          <w:szCs w:val="40"/>
        </w:rPr>
        <w:lastRenderedPageBreak/>
        <w:t>Paper 1</w:t>
      </w:r>
    </w:p>
    <w:p w:rsidR="003F789A" w:rsidRDefault="003F789A" w:rsidP="00857048">
      <w:pPr>
        <w:rPr>
          <w:sz w:val="20"/>
        </w:rPr>
      </w:pPr>
    </w:p>
    <w:p w:rsidR="003F789A" w:rsidRPr="00857048" w:rsidRDefault="003F789A" w:rsidP="00BD5483">
      <w:pPr>
        <w:pStyle w:val="Heading2"/>
        <w:numPr>
          <w:ilvl w:val="0"/>
          <w:numId w:val="0"/>
        </w:numPr>
        <w:spacing w:line="240" w:lineRule="auto"/>
        <w:ind w:left="851" w:hanging="851"/>
        <w:rPr>
          <w:rFonts w:ascii="Arial Bold" w:hAnsi="Arial Bold"/>
          <w:bCs/>
          <w:color w:val="008000"/>
        </w:rPr>
      </w:pPr>
      <w:bookmarkStart w:id="53" w:name="_Toc436915606"/>
      <w:bookmarkStart w:id="54" w:name="_Toc436916047"/>
      <w:r>
        <w:rPr>
          <w:rFonts w:ascii="Arial Bold" w:hAnsi="Arial Bold"/>
          <w:bCs/>
          <w:color w:val="008000"/>
        </w:rPr>
        <w:t xml:space="preserve">3.2  </w:t>
      </w:r>
      <w:bookmarkStart w:id="55" w:name="_Toc436757143"/>
      <w:bookmarkStart w:id="56" w:name="_Toc436758082"/>
      <w:r>
        <w:rPr>
          <w:rFonts w:ascii="Arial Bold" w:hAnsi="Arial Bold"/>
          <w:bCs/>
          <w:color w:val="008000"/>
        </w:rPr>
        <w:t xml:space="preserve"> </w:t>
      </w:r>
      <w:r w:rsidRPr="00857048">
        <w:rPr>
          <w:rFonts w:ascii="Arial Bold" w:hAnsi="Arial Bold"/>
          <w:bCs/>
          <w:color w:val="008000"/>
        </w:rPr>
        <w:t>Willingness to offset? Residents’ perspectives on compensating impacts from urban development through woodland restoration measures</w:t>
      </w:r>
      <w:bookmarkEnd w:id="53"/>
      <w:bookmarkEnd w:id="54"/>
      <w:bookmarkEnd w:id="55"/>
      <w:bookmarkEnd w:id="56"/>
    </w:p>
    <w:p w:rsidR="003F789A" w:rsidRPr="00623376" w:rsidRDefault="003F789A" w:rsidP="00857048">
      <w:pPr>
        <w:spacing w:line="240" w:lineRule="auto"/>
        <w:rPr>
          <w:rStyle w:val="pagecontents1"/>
          <w:rFonts w:cs="Arial"/>
          <w:sz w:val="22"/>
          <w:szCs w:val="22"/>
        </w:rPr>
      </w:pPr>
    </w:p>
    <w:p w:rsidR="003F789A" w:rsidRPr="008125BB" w:rsidRDefault="003F789A" w:rsidP="00623376">
      <w:pPr>
        <w:tabs>
          <w:tab w:val="left" w:pos="880"/>
        </w:tabs>
        <w:spacing w:after="0" w:line="360" w:lineRule="auto"/>
        <w:rPr>
          <w:rStyle w:val="pagecontents1"/>
          <w:rFonts w:cs="Arial"/>
          <w:b/>
          <w:sz w:val="20"/>
          <w:lang w:val="en-US"/>
        </w:rPr>
      </w:pPr>
      <w:r w:rsidRPr="008125BB">
        <w:rPr>
          <w:rStyle w:val="pagecontents1"/>
          <w:rFonts w:cs="Arial"/>
          <w:b/>
          <w:sz w:val="20"/>
          <w:lang w:val="en-US"/>
        </w:rPr>
        <w:tab/>
        <w:t xml:space="preserve">Samantha S. K. Scholte </w:t>
      </w:r>
    </w:p>
    <w:p w:rsidR="003F789A" w:rsidRPr="008125BB" w:rsidRDefault="003F789A" w:rsidP="00623376">
      <w:pPr>
        <w:tabs>
          <w:tab w:val="left" w:pos="880"/>
        </w:tabs>
        <w:spacing w:after="0" w:line="360" w:lineRule="auto"/>
        <w:rPr>
          <w:rStyle w:val="pagecontents1"/>
          <w:rFonts w:cs="Arial"/>
          <w:sz w:val="20"/>
          <w:lang w:val="en-US"/>
        </w:rPr>
      </w:pPr>
      <w:r w:rsidRPr="008125BB">
        <w:rPr>
          <w:rStyle w:val="pagecontents1"/>
          <w:rFonts w:cs="Arial"/>
          <w:sz w:val="20"/>
          <w:lang w:val="en-US"/>
        </w:rPr>
        <w:tab/>
        <w:t>Based on paper submitted to Land Use Policy</w:t>
      </w:r>
    </w:p>
    <w:p w:rsidR="003F789A" w:rsidRPr="00857048" w:rsidRDefault="003F789A" w:rsidP="00857048">
      <w:pPr>
        <w:spacing w:after="100" w:afterAutospacing="1" w:line="360" w:lineRule="auto"/>
        <w:rPr>
          <w:rFonts w:cs="Arial"/>
          <w:sz w:val="20"/>
        </w:rPr>
      </w:pPr>
    </w:p>
    <w:p w:rsidR="003F789A" w:rsidRPr="00857048" w:rsidRDefault="003F789A" w:rsidP="00BD5483">
      <w:pPr>
        <w:pStyle w:val="Heading3"/>
        <w:numPr>
          <w:ilvl w:val="2"/>
          <w:numId w:val="35"/>
        </w:numPr>
      </w:pPr>
      <w:bookmarkStart w:id="57" w:name="_Toc436757144"/>
      <w:bookmarkStart w:id="58" w:name="_Toc436758083"/>
      <w:r>
        <w:t xml:space="preserve"> </w:t>
      </w:r>
      <w:bookmarkStart w:id="59" w:name="_Toc436915607"/>
      <w:bookmarkStart w:id="60" w:name="_Toc436916048"/>
      <w:r w:rsidRPr="00857048">
        <w:t>Introduction</w:t>
      </w:r>
      <w:bookmarkEnd w:id="57"/>
      <w:bookmarkEnd w:id="58"/>
      <w:bookmarkEnd w:id="59"/>
      <w:bookmarkEnd w:id="60"/>
    </w:p>
    <w:p w:rsidR="003F789A" w:rsidRPr="00857048" w:rsidRDefault="003F789A" w:rsidP="00857048">
      <w:pPr>
        <w:spacing w:after="100" w:afterAutospacing="1" w:line="360" w:lineRule="auto"/>
        <w:rPr>
          <w:rFonts w:cs="Arial"/>
          <w:sz w:val="20"/>
        </w:rPr>
      </w:pPr>
      <w:r w:rsidRPr="00857048">
        <w:rPr>
          <w:rFonts w:cs="Arial"/>
          <w:sz w:val="20"/>
        </w:rPr>
        <w:t xml:space="preserve">Urbanization is a key driver of land use change </w:t>
      </w:r>
      <w:r w:rsidRPr="00857048">
        <w:rPr>
          <w:rFonts w:cs="Arial"/>
          <w:sz w:val="20"/>
        </w:rPr>
        <w:fldChar w:fldCharType="begin" w:fldLock="1"/>
      </w:r>
      <w:r w:rsidRPr="00857048">
        <w:rPr>
          <w:rFonts w:cs="Arial"/>
          <w:sz w:val="20"/>
        </w:rPr>
        <w:instrText>ADDIN CSL_CITATION { "citationItems" : [ { "id" : "ITEM-1", "itemData" : { "DOI" : "10.1007/s10980-014-0034-y", "ISSN" : "0921-2973", "author" : [ { "dropping-particle" : "", "family" : "Liu", "given" : "Zhifeng", "non-dropping-particle" : "", "parse-names" : false, "suffix" : "" }, { "dropping-particle" : "", "family" : "He", "given" : "Chunyang", "non-dropping-particle" : "", "parse-names" : false, "suffix" : "" }, { "dropping-particle" : "", "family" : "Zhou", "given" : "Yuyu", "non-dropping-particle" : "", "parse-names" : false, "suffix" : "" }, { "dropping-particle" : "", "family" : "Wu", "given" : "Jianguo", "non-dropping-particle" : "", "parse-names" : false, "suffix" : "" } ], "container-title" : "Landscape Ecology", "id" : "ITEM-1", "issue" : "5", "issued" : { "date-parts" : [ [ "2014", "4", "12" ] ] }, "page" : "763-771", "title" : "How much of the world\u2019s land has been urbanized, really? A hierarchical framework for avoiding confusion", "type" : "article-journal", "volume" : "29" }, "uris" : [ "http://www.mendeley.com/documents/?uuid=964160b0-51d1-4d62-81d1-f883060fa3b8" ] }, { "id" : "ITEM-2", "itemData" : { "DOI" : "10.1068/b31079", "ISSN" : "0265-8135", "author" : [ { "dropping-particle" : "", "family" : "Reginster", "given" : "Isabelle", "non-dropping-particle" : "", "parse-names" : false, "suffix" : "" }, { "dropping-particle" : "", "family" : "Rounsevell", "given" : "Mark", "non-dropping-particle" : "", "parse-names" : false, "suffix" : "" } ], "container-title" : "Environment and Planning B: Planning and Design", "id" : "ITEM-2", "issue" : "4", "issued" : { "date-parts" : [ [ "2006" ] ] }, "language" : "EN", "page" : "619-636", "publisher" : "Pion Ltd.", "title" : "Scenarios of future urban land use in Europe", "type" : "article-journal", "volume" : "33" }, "uris" : [ "http://www.mendeley.com/documents/?uuid=a84cd1c6-0871-42e1-aba2-b77e46827261" ] }, { "id" : "ITEM-3", "itemData" : { "DOI" : "10.1371/journal.pone.0023777", "ISSN" : "1932-6203", "PMID" : "21876770", "abstract" : "The conversion of Earth's land surface to urban uses is one of the most irreversible human impacts on the global biosphere. It drives the loss of farmland, affects local climate, fragments habitats, and threatens biodiversity. Here we present a meta-analysis of 326 studies that have used remotely sensed images to map urban land conversion. We report a worldwide observed increase in urban land area of 58,000 km(2) from 1970 to 2000. India, China, and Africa have experienced the highest rates of urban land expansion, and the largest change in total urban extent has occurred in North America. Across all regions and for all three decades, urban land expansion rates are higher than or equal to urban population growth rates, suggesting that urban growth is becoming more expansive than compact. Annual growth in GDP per capita drives approximately half of the observed urban land expansion in China but only moderately affects urban expansion in India and Africa, where urban land expansion is driven more by urban population growth. In high income countries, rates of urban land expansion are slower and increasingly related to GDP growth. However, in North America, population growth contributes more to urban expansion than it does in Europe. Much of the observed variation in urban expansion was not captured by either population, GDP, or other variables in the model. This suggests that contemporary urban expansion is related to a variety of factors difficult to observe comprehensively at the global level, including international capital flows, the informal economy, land use policy, and generalized transport costs. Using the results from the global model, we develop forecasts for new urban land cover using SRES Scenarios. Our results show that by 2030, global urban land cover will increase between 430,000 km(2) and 12,568,000 km(2), with an estimate of 1,527,000 km(2) more likely.", "author" : [ { "dropping-particle" : "", "family" : "Seto", "given" : "Karen C", "non-dropping-particle" : "", "parse-names" : false, "suffix" : "" }, { "dropping-particle" : "", "family" : "Fragkias", "given" : "Michail", "non-dropping-particle" : "", "parse-names" : false, "suffix" : "" }, { "dropping-particle" : "", "family" : "G\u00fcneralp", "given" : "Burak", "non-dropping-particle" : "", "parse-names" : false, "suffix" : "" }, { "dropping-particle" : "", "family" : "Reilly", "given" : "Michael K", "non-dropping-particle" : "", "parse-names" : false, "suffix" : "" } ], "container-title" : "PloS one", "id" : "ITEM-3", "issue" : "8", "issued" : { "date-parts" : [ [ "2011", "1", "18" ] ] }, "page" : "e23777", "publisher" : "Public Library of Science", "title" : "A meta-analysis of global urban land expansion.", "type" : "article-journal", "volume" : "6" }, "uris" : [ "http://www.mendeley.com/documents/?uuid=42e122f9-670b-403e-962b-874f679a6e3f" ] }, { "id" : "ITEM-4", "itemData" : { "DOI" : "10.1016/j.ecolind.2015.02.015", "ISSN" : "1470160X", "abstract" : "China faces the challenge of using limited farmland to feed more than 1.3 billion people. Accelerated urbanization has exacerbated this challenge by consuming a large quantity of high-quality farmland (HQF). It is therefore essential to assess the degree to which urban expansion has preferentially consumed HQF, and discern the mechanism behind this. We found urban areas in Beijing to expand at speeds of 48.97km2/year, 21.89km2/year, 62.30km2/year and 20.32km2/year during the periods 1986\u20131995, 1995\u20132000, 2000\u20132005 and 2005\u20132020, respectively. We developed an indicator of HQF consumption due to urban expansion, representing the ratio of HQF consumed to its proportion of overall farmland, and found its values were 2.21, 1.57, 1.99 and 1.10 for 1986\u20131995, 1995\u20132000, 2000\u20132005 and 2005\u20132020, respectively. Thus, although HQF has been overrepresented in the farmland consumed by Beijing's urbanization, this phenomenon has decreased over time. Centralized expansion has contributed greatly to consumption of HQF. Topography and distances to urban and water bodies determine the relative consumption of HQF in urbanization.", "author" : [ { "dropping-particle" : "", "family" : "Song", "given" : "Wei", "non-dropping-particle" : "", "parse-names" : false, "suffix" : "" }, { "dropping-particle" : "", "family" : "Pijanowski", "given" : "Bryan C.", "non-dropping-particle" : "", "parse-names" : false, "suffix" : "" }, { "dropping-particle" : "", "family" : "Tayyebi", "given" : "Amin", "non-dropping-particle" : "", "parse-names" : false, "suffix" : "" } ], "container-title" : "Ecological Indicators", "id" : "ITEM-4", "issued" : { "date-parts" : [ [ "2015", "7" ] ] }, "page" : "60-70", "title" : "Urban expansion and its consumption of high-quality farmland in Beijing, China", "type" : "article-journal", "volume" : "54" }, "uris" : [ "http://www.mendeley.com/documents/?uuid=45a9e6d4-dfda-4343-b05f-0bf136a5a173" ] } ], "mendeley" : { "formattedCitation" : "(Liu et al., 2014; Reginster and Rounsevell, 2006; Seto et al., 2011; Song et al., 2015)", "manualFormatting" : "(Liu et al., 2014; Seto et al., 2011; Song et al., 2015)", "plainTextFormattedCitation" : "(Liu et al., 2014; Reginster and Rounsevell, 2006; Seto et al., 2011; Song et al., 2015)", "previouslyFormattedCitation" : "(Liu et al., 2014; Reginster and Rounsevell, 2006; Seto et al., 2011; Song et al.,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(Liu et al., 2014; Seto et al., 2011; Song et al., 2015)</w:t>
      </w:r>
      <w:r w:rsidRPr="00857048">
        <w:rPr>
          <w:rFonts w:cs="Arial"/>
          <w:sz w:val="20"/>
        </w:rPr>
        <w:fldChar w:fldCharType="end"/>
      </w:r>
      <w:r w:rsidRPr="00857048">
        <w:rPr>
          <w:rFonts w:cs="Arial"/>
          <w:sz w:val="20"/>
        </w:rPr>
        <w:t xml:space="preserve">. In Europe, cities have tended to expand in a dispersed rather than compact manner </w:t>
      </w:r>
      <w:r w:rsidRPr="00857048">
        <w:rPr>
          <w:rFonts w:cs="Arial"/>
          <w:sz w:val="20"/>
        </w:rPr>
        <w:fldChar w:fldCharType="begin" w:fldLock="1"/>
      </w:r>
      <w:r w:rsidRPr="00857048">
        <w:rPr>
          <w:rFonts w:cs="Arial"/>
          <w:sz w:val="20"/>
        </w:rPr>
        <w:instrText>ADDIN CSL_CITATION { "citationItems" : [ { "id" : "ITEM-1", "itemData" : { "DOI" : "10.1068/b120029p", "ISSN" : "0265-8135", "author" : [ { "dropping-particle" : "", "family" : "Salvati", "given" : "Luca", "non-dropping-particle" : "", "parse-names" : false, "suffix" : "" }, { "dropping-particle" : "", "family" : "Carlucci", "given" : "Margherita", "non-dropping-particle" : "", "parse-names" : false, "suffix" : "" } ], "container-title" : "Environment and Planning B: Planning and Design", "id" : "ITEM-1", "issued" : { "date-parts" : [ [ "2015" ] ] }, "language" : "EN", "publisher" : "Pion Ltd", "title" : "Land-use structure, urban growth, and periurban landscape: a multivariate classification of the European cities", "type" : "article-journal" }, "uris" : [ "http://www.mendeley.com/documents/?uuid=b0068307-0aa1-4d87-89ad-bf62e136b65b" ] } ], "mendeley" : { "formattedCitation" : "(Salvati and Carlucci, 2015)", "plainTextFormattedCitation" : "(Salvati and Carlucci, 2015)", "previouslyFormattedCitation" : "(Salvati and Carlucci,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(Salvati and Carlucci, 2015)</w:t>
      </w:r>
      <w:r w:rsidRPr="00857048">
        <w:rPr>
          <w:rFonts w:cs="Arial"/>
          <w:sz w:val="20"/>
        </w:rPr>
        <w:fldChar w:fldCharType="end"/>
      </w:r>
      <w:r w:rsidRPr="00857048">
        <w:rPr>
          <w:rFonts w:cs="Arial"/>
          <w:sz w:val="20"/>
        </w:rPr>
        <w:t>. Dispersed growth – commonly referred to as urban sprawl - is characterized by  low-density development patterns due to changing population characteristics</w:t>
      </w:r>
      <w:r>
        <w:rPr>
          <w:rFonts w:cs="Arial"/>
          <w:sz w:val="20"/>
        </w:rPr>
        <w:t xml:space="preserve"> </w:t>
      </w:r>
      <w:r w:rsidRPr="00857048">
        <w:rPr>
          <w:rFonts w:cs="Arial"/>
          <w:sz w:val="20"/>
        </w:rPr>
        <w:t xml:space="preserve">and lifestyles </w:t>
      </w:r>
      <w:r w:rsidRPr="00857048">
        <w:rPr>
          <w:rFonts w:cs="Arial"/>
          <w:sz w:val="20"/>
        </w:rPr>
        <w:fldChar w:fldCharType="begin" w:fldLock="1"/>
      </w:r>
      <w:r w:rsidRPr="00857048">
        <w:rPr>
          <w:rFonts w:cs="Arial"/>
          <w:sz w:val="20"/>
        </w:rPr>
        <w:instrText>ADDIN CSL_CITATION { "citationItems" : [ { "id" : "ITEM-1", "itemData" : { "DOI" : "10.1016/S0921-8009(01)00254-3", "ISSN" : "09218009", "abstract" : "The question of the environmental or social costs of urban form is increasingly attracting attention in spatial policy, but scientific debate in this field is often marred by prejudices and abstract visions; empirical analyses are very rare. The present study aims at establishing, in the metropolitan area of Milan, whether different patterns of urban expansion could be associated with specific environmental costs\u2014in particular, for land consumption and mobility generation. Different typologies of urban expansion were defined, and an impact index weighting differently journey-to-work trips with reference to mode and time length was built at the municipality level. The statistical analysis confirmed the expected \u201cwasteful\u201d character of sprawling development patterns in terms of land consumption, though suggesting that recent urban development is becoming relatively \u2018virtuous\u2019 with respect to the past. With reference to the mobility generated, higher environmental impacts were proved to be associated with low densities, sprawling development, more recent urbanisation processes and residential specialisation of the single municipalities. Public transport seems to be strongly influenced, both in terms of efficiency and competitiveness, by the structural organisation of an urban area: the more dispersed and less structured the development, the lower its level of efficiency and competitiveness and consequently its share of the mobility market. On the contrary, trip times for private transport appear to be correlated not so much to urban dimension or density as to the presence of recent housing development, indicating the emergence of new models of lifestyle and mobility which are very different from those of the past.", "author" : [ { "dropping-particle" : "", "family" : "Camagni", "given" : "Roberto", "non-dropping-particle" : "", "parse-names" : false, "suffix" : "" }, { "dropping-particle" : "", "family" : "Gibelli", "given" : "Maria Cristina", "non-dropping-particle" : "", "parse-names" : false, "suffix" : "" }, { "dropping-particle" : "", "family" : "Rigamonti", "given" : "Paolo", "non-dropping-particle" : "", "parse-names" : false, "suffix" : "" } ], "container-title" : "Ecological Economics", "id" : "ITEM-1", "issue" : "2", "issued" : { "date-parts" : [ [ "2002", "2" ] ] }, "page" : "199-216", "title" : "Urban mobility and urban form: the social and environmental costs of different patterns of urban expansion", "type" : "article-journal", "volume" : "40" }, "uris" : [ "http://www.mendeley.com/documents/?uuid=e98da12d-48a7-4011-8599-03e8b5095fce" ] } ], "mendeley" : { "formattedCitation" : "(Camagni et al., 2002)", "manualFormatting" : "(Camagni et al., 2002)", "plainTextFormattedCitation" : "(Camagni et al., 2002)", "previouslyFormattedCitation" : "(Camagni et al., 2002)" }, "properties" : { "noteIndex" : 0 }, "schema" : "https://github.com/citation-style-language/schema/raw/master/csl-citation.json" }</w:instrText>
      </w:r>
      <w:r w:rsidRPr="00857048">
        <w:rPr>
          <w:rFonts w:cs="Arial"/>
          <w:sz w:val="20"/>
        </w:rPr>
        <w:fldChar w:fldCharType="separate"/>
      </w:r>
      <w:r w:rsidRPr="00857048">
        <w:rPr>
          <w:rFonts w:cs="Arial"/>
          <w:noProof/>
          <w:sz w:val="20"/>
        </w:rPr>
        <w:t>(Camagni et al., 2002)</w:t>
      </w:r>
      <w:r w:rsidRPr="00857048">
        <w:rPr>
          <w:rFonts w:cs="Arial"/>
          <w:sz w:val="20"/>
        </w:rPr>
        <w:fldChar w:fldCharType="end"/>
      </w:r>
      <w:r w:rsidRPr="00857048">
        <w:rPr>
          <w:rFonts w:cs="Arial"/>
          <w:sz w:val="20"/>
        </w:rPr>
        <w:t xml:space="preserve">. The dispersion of urban settlements has led to significant environmental impacts as a consequence of land take and demand for transport and energy </w:t>
      </w:r>
      <w:r w:rsidRPr="00857048">
        <w:rPr>
          <w:rFonts w:cs="Arial"/>
          <w:sz w:val="20"/>
        </w:rPr>
        <w:fldChar w:fldCharType="begin" w:fldLock="1"/>
      </w:r>
      <w:r w:rsidRPr="00857048">
        <w:rPr>
          <w:rFonts w:cs="Arial"/>
          <w:sz w:val="20"/>
        </w:rPr>
        <w:instrText>ADDIN CSL_CITATION { "citationItems" : [ { "id" : "ITEM-1", "itemData" : { "DOI" : "10.1016/j.landusepol.2009.03.003", "ISSN" : "02648377", "abstract" : "This study provides a brief evaluation of the relationship between trends in transport emissions and urban land-use by analysing correlation between transport CO2 emissions data, GDP and population data with land-use change data from the CORINE database for EU Member States between 1990 and 2000. It concludes that the correlation between transport CO2 emissions and the increase of artificial land area is much stronger than the correlation between CO2 emissions and GDP or population data. The paper argues that this correlation is a strong justification for using land-use based policies to reduce CO2 emissions.", "author" : [ { "dropping-particle" : "", "family" : "Bart", "given" : "Istv\u00e1n L\u00e1szl\u00f3", "non-dropping-particle" : "", "parse-names" : false, "suffix" : "" } ], "container-title" : "Land Use Policy", "id" : "ITEM-1", "issue" : "2", "issued" : { "date-parts" : [ [ "2010", "4" ] ] }, "page" : "283-292", "title" : "Urban sprawl and climate change: A statistical exploration of cause and effect, with policy options for the EU", "type" : "article-journal", "volume" : "27" }, "uris" : [ "http://www.mendeley.com/documents/?uuid=d07076c5-9bc7-48b8-a2fb-1d9232b37523" ] } ], "mendeley" : { "formattedCitation" : "(Bart, 2010)", "plainTextFormattedCitation" : "(Bart, 2010)", "previouslyFormattedCitation" : "(Bart, 2010)" }, "properties" : { "noteIndex" : 0 }, "schema" : "https://github.com/citation-style-language/schema/raw/master/csl-citation.json" }</w:instrText>
      </w:r>
      <w:r w:rsidRPr="00857048">
        <w:rPr>
          <w:rFonts w:cs="Arial"/>
          <w:sz w:val="20"/>
        </w:rPr>
        <w:fldChar w:fldCharType="separate"/>
      </w:r>
      <w:r w:rsidRPr="00857048">
        <w:rPr>
          <w:rFonts w:cs="Arial"/>
          <w:noProof/>
          <w:sz w:val="20"/>
        </w:rPr>
        <w:t>(Bart, 2010)</w:t>
      </w:r>
      <w:r w:rsidRPr="00857048">
        <w:rPr>
          <w:rFonts w:cs="Arial"/>
          <w:sz w:val="20"/>
        </w:rPr>
        <w:fldChar w:fldCharType="end"/>
      </w:r>
      <w:r w:rsidRPr="00857048">
        <w:rPr>
          <w:rFonts w:cs="Arial"/>
          <w:sz w:val="20"/>
        </w:rPr>
        <w:t xml:space="preserve">. These developments affect the functioning of habitats and the species that rely on these habitats </w:t>
      </w:r>
      <w:r w:rsidRPr="00857048">
        <w:rPr>
          <w:rFonts w:cs="Arial"/>
          <w:sz w:val="20"/>
        </w:rPr>
        <w:fldChar w:fldCharType="begin" w:fldLock="1"/>
      </w:r>
      <w:r w:rsidRPr="00857048">
        <w:rPr>
          <w:rFonts w:cs="Arial"/>
          <w:sz w:val="20"/>
        </w:rPr>
        <w:instrText>ADDIN CSL_CITATION { "citationItems" : [ { "id" : "ITEM-1", "itemData" : { "DOI" : "10.1016/j.landurbplan.2004.03.009", "ISSN" : "01692046", "abstract" : "There is a lack of information on the environmental effects of urban change and the dynamics of greenspace. Such information is essential for a better understanding of the sustainability of urban development processes, both planned and unplanned. We therefore investigated the changes in land use and land cover of 11 residential areas in Merseyside, UK, using aerial photographs taken in 1975 and 2000. We then modeled how these changes would alter three important environmental parameters: surface temperature, runoff of rainfall, and greenspace diversity. These changes were then related to the socio-economic status of the areas, as measured by an index of multiple deprivation. The comparisons revealed a loss of greenspace in all 11 case study sites Overall, the more affluent, low density areas lost more greenspace, especially of tree cover. A major cause was infill development whereby gardens were built over. However, greenspace was also lost in already densely built-up, deprived areas due to the reuse of derelict land. As a consequence, the models used in this study predicted negative environmental impacts for all areas. The results emphasize the need to critically review concepts such as urban densification and give more weight to the preservation and management of urban greenspaces.", "author" : [ { "dropping-particle" : "", "family" : "Pauleit", "given" : "Stephan", "non-dropping-particle" : "", "parse-names" : false, "suffix" : "" }, { "dropping-particle" : "", "family" : "Ennos", "given" : "Roland", "non-dropping-particle" : "", "parse-names" : false, "suffix" : "" }, { "dropping-particle" : "", "family" : "Golding", "given" : "Yvonne", "non-dropping-particle" : "", "parse-names" : false, "suffix" : "" } ], "container-title" : "Landscape and Urban Planning", "id" : "ITEM-1", "issue" : "2-4", "issued" : { "date-parts" : [ [ "2005", "3" ] ] }, "page" : "295-310", "title" : "Modeling the environmental impacts of urban land use and land cover change\u2014a study in Merseyside, UK", "type" : "article-journal", "volume" : "71" }, "uris" : [ "http://www.mendeley.com/documents/?uuid=00c3634b-539f-4616-8735-95d3ab4298d0" ] }, { "id" : "ITEM-2", "itemData" : { "DOI" : "10.1890/13-1088.1", "ISSN" : "1051-0761", "abstract" : "To ensure viable species populations in fragmented landscapes, individuals must be able to move between suitable habitat patches. Despite the increased interest in biodiversity assessment in urban environments, the ecological relevance of habitat connectivity in highly fragmented landscapes remains largely unknown. The first step to understanding the role of habitat connectivity in urban ecology is the challenging task of assessing connectivity in the complex patchwork of contrasting habitats that is found in cities. We developed a data-based framework, minimizing the use of subjective assumptions, to assess habitat connectivity that consists of the following sequential steps: (1) identification of habitat preference based on empirical habitat-use data; (2) derivation of habitat resistance surfaces evaluating various transformation functions; (3) modeling of different connectivity maps with electrical circuit theory (Circuitscape), a method considering all possible pathways across the landscape simultaneo...", "author" : [ { "dropping-particle" : "", "family" : "Braaker", "given" : "S.", "non-dropping-particle" : "", "parse-names" : false, "suffix" : "" }, { "dropping-particle" : "", "family" : "Moretti", "given" : "M.", "non-dropping-particle" : "", "parse-names" : false, "suffix" : "" }, { "dropping-particle" : "", "family" : "Boesch", "given" : "R.", "non-dropping-particle" : "", "parse-names" : false, "suffix" : "" }, { "dropping-particle" : "", "family" : "Ghazoul", "given" : "J.", "non-dropping-particle" : "", "parse-names" : false, "suffix" : "" }, { "dropping-particle" : "", "family" : "Obrist", "given" : "M. K.", "non-dropping-particle" : "", "parse-names" : false, "suffix" : "" }, { "dropping-particle" : "", "family" : "Bontadina", "given" : "F.", "non-dropping-particle" : "", "parse-names" : false, "suffix" : "" } ], "container-title" : "Ecological Applications", "id" : "ITEM-2", "issue" : "7", "issued" : { "date-parts" : [ [ "2014", "10", "29" ] ] }, "language" : "EN", "page" : "1583-1595", "publisher" : "Ecological Society of America", "title" : "Assessing habitat connectivity for ground-dwelling animals in an urban environment", "type" : "article-journal", "volume" : "24" }, "uris" : [ "http://www.mendeley.com/documents/?uuid=a2a097f7-05c4-48f5-81e4-f529035c9db1" ] } ], "mendeley" : { "formattedCitation" : "(Braaker et al., 2014; Pauleit et al., 2005)", "plainTextFormattedCitation" : "(Braaker et al., 2014; Pauleit et al., 2005)", "previouslyFormattedCitation" : "(Braaker et al., 2014; Pauleit et al., 2005)" }, "properties" : { "noteIndex" : 0 }, "schema" : "https://github.com/citation-style-language/schema/raw/master/csl-citation.json" }</w:instrText>
      </w:r>
      <w:r w:rsidRPr="00857048">
        <w:rPr>
          <w:rFonts w:cs="Arial"/>
          <w:sz w:val="20"/>
        </w:rPr>
        <w:fldChar w:fldCharType="separate"/>
      </w:r>
      <w:r w:rsidRPr="00857048">
        <w:rPr>
          <w:rFonts w:cs="Arial"/>
          <w:noProof/>
          <w:sz w:val="20"/>
        </w:rPr>
        <w:t>(Braaker et al., 2014; Pauleit et al., 2005)</w:t>
      </w:r>
      <w:r w:rsidRPr="00857048">
        <w:rPr>
          <w:rFonts w:cs="Arial"/>
          <w:sz w:val="20"/>
        </w:rPr>
        <w:fldChar w:fldCharType="end"/>
      </w:r>
      <w:r w:rsidRPr="00857048">
        <w:rPr>
          <w:rFonts w:cs="Arial"/>
          <w:sz w:val="20"/>
        </w:rPr>
        <w:t>.</w:t>
      </w:r>
    </w:p>
    <w:p w:rsidR="003F789A" w:rsidRPr="00857048" w:rsidRDefault="003F789A" w:rsidP="00623376">
      <w:pPr>
        <w:spacing w:after="100" w:afterAutospacing="1" w:line="360" w:lineRule="auto"/>
        <w:rPr>
          <w:rFonts w:cs="Arial"/>
          <w:noProof/>
          <w:sz w:val="20"/>
        </w:rPr>
      </w:pPr>
      <w:r w:rsidRPr="00857048">
        <w:rPr>
          <w:rFonts w:cs="Arial"/>
          <w:sz w:val="20"/>
        </w:rPr>
        <w:t xml:space="preserve"> In addition to biodiversity impacts, development activities in rural areas also affect the benefits people derive from such landscapes, i.e. ecosystem services</w:t>
      </w:r>
      <w:r>
        <w:rPr>
          <w:rFonts w:cs="Arial"/>
          <w:sz w:val="20"/>
        </w:rPr>
        <w:t xml:space="preserve"> (ES)</w:t>
      </w:r>
      <w:r w:rsidRPr="00857048">
        <w:rPr>
          <w:rFonts w:cs="Arial"/>
          <w:sz w:val="20"/>
        </w:rPr>
        <w:t xml:space="preserve">. </w:t>
      </w:r>
      <w:r w:rsidRPr="00857048">
        <w:rPr>
          <w:rFonts w:cs="Arial"/>
          <w:noProof/>
          <w:sz w:val="20"/>
        </w:rPr>
        <w:t xml:space="preserve">The benefits associated with rural landscapes are no longer limited to single agricultural products; instead these ‘multi-functional’ landcapes are increasingly valued in terms of multiple goods and services </w:t>
      </w:r>
      <w:r w:rsidRPr="00857048">
        <w:rPr>
          <w:rFonts w:cs="Arial"/>
          <w:noProof/>
          <w:sz w:val="20"/>
        </w:rPr>
        <w:fldChar w:fldCharType="begin" w:fldLock="1"/>
      </w:r>
      <w:r w:rsidRPr="00857048">
        <w:rPr>
          <w:rFonts w:cs="Arial"/>
          <w:noProof/>
          <w:sz w:val="20"/>
        </w:rPr>
        <w:instrText>ADDIN CSL_CITATION { "citationItems" : [ { "id" : "ITEM-1", "itemData" : { "DOI" : "http://dx.doi.org/10.1016/j.landusepol.2009.08.012", "ISSN" : "0264-8377", "abstract" : "The broad pattern of rural land ownership exhibits quite modest change over the past 30 years, but this impression is misleading. It understates substantial changes in property rights, evidence of which is not readily available from published statistics. These changes reflect the growing urbanisation of the countryside, which has required owners to pay more attention to consumption interests, sometimes at the expense of traditional agricultural and forestry interests, which in turn have experienced mixed fortunes. Rural land is expected to supply, and is increasingly valued in terms of, multiple goods and services.  Major trends in ownership, occupancy and land prices are reviewed, noting that the divisibility and flexibility of the bundle of rights which constitute ownership have allowed holders to respond to urban pressures and farming difficulties with practices including short-term leasing, contracting, supplying life-style residential properties and accommodating increased environmental regulation. But linking land use to land ownership type is difficult, not least because there are many other drivers of land-use change. Moreover, local and individual circumstances are now more significant than in the past, not least the ageing occupational structure of farming. The paper concludes with a brief discussion of some of the political, economic and environmental drivers that may affect future land ownership patterns.", "author" : [ { "dropping-particle" : "", "family" : "Munton", "given" : "Richard", "non-dropping-particle" : "", "parse-names" : false, "suffix" : "" } ], "container-title" : "Land Use Policy", "id" : "ITEM-1", "issue" : "0", "issued" : { "date-parts" : [ [ "2009", "12" ] ] }, "page" : "S54-S61", "title" : "Rural land ownership in the United Kingdom: Changing patterns and future possibilities for land use", "type" : "article-journal", "volume" : "26, Supple" }, "uris" : [ "http://www.mendeley.com/documents/?uuid=e7ad3a9b-9312-4dba-bbd1-38e46273cff9" ] }, { "id" : "ITEM-2", "itemData" : { "DOI" : "10.1016/j.landusepol.2011.01.008", "ISSN" : "02648377", "abstract" : "Peri-urban areas around urban agglomerations in Europe and elsewhere have been subject to agricultural and land use research for the past three decades. The manner in which farming responds to urban pressures, socio-economic changes and development opportunities has been the main focus of examination, with urban demand for rural goods and services representing a driving factor to adapt farming activities in a multifunctional way. Working within the peri-urban framework, this review pays particular attention to the relevance of multifunctional agriculture. Academic discourses and empirical insights related to farm structure and practices beyond conventional agriculture are analysed. Diversification, recreational and environmental farming, landscape management and specialisation, as well as direct marketing are all taken into consideration and discussed within the context of landscape functions. The provision of rural goods and services is contrasted with societal demands on peri-urban agriculture. This review finds that multifunctional agriculture has been commonly recognised in peri-urban areas \u2013 a phenomenon that includes a large variety of activities and diversification approaches within the context of environmental, social and economic functions of agriculture. In response to the post-productive, consumption-oriented requirements of the urban society, peri-urban farmers have intensified their uptake of multifunctional activities. Nevertheless, not all multifunctional opportunities are being fully developed when one considers the large and growing urban demand for goods and services provided by agriculture carried out near the city. This paper discusses policy and planning approaches to support multifunctional agriculture in peri-urban areas.", "author" : [ { "dropping-particle" : "", "family" : "Zasada", "given" : "Ingo", "non-dropping-particle" : "", "parse-names" : false, "suffix" : "" } ], "container-title" : "Land Use Policy", "id" : "ITEM-2", "issue" : "4", "issued" : { "date-parts" : [ [ "2011", "10" ] ] }, "page" : "639-648", "title" : "Multifunctional peri-urban agriculture\u2014A review of societal demands and the provision of goods and services by farming", "type" : "article-journal", "volume" : "28" }, "uris" : [ "http://www.mendeley.com/documents/?uuid=c92ecb45-8584-4c6f-bc7e-34bb03f35c1c" ] } ], "mendeley" : { "formattedCitation" : "(Munton, 2009; Zasada, 2011)", "plainTextFormattedCitation" : "(Munton, 2009; Zasada, 2011)", "previouslyFormattedCitation" : "(Munton, 2009; Zasada, 2011)" }, "properties" : { "noteIndex" : 0 }, "schema" : "https://github.com/citation-style-language/schema/raw/master/csl-citation.json" }</w:instrText>
      </w:r>
      <w:r w:rsidRPr="00857048">
        <w:rPr>
          <w:rFonts w:cs="Arial"/>
          <w:noProof/>
          <w:sz w:val="20"/>
        </w:rPr>
        <w:fldChar w:fldCharType="separate"/>
      </w:r>
      <w:r w:rsidRPr="00857048">
        <w:rPr>
          <w:rFonts w:cs="Arial"/>
          <w:noProof/>
          <w:sz w:val="20"/>
        </w:rPr>
        <w:t>(Munton, 2009; Zasada, 2011)</w:t>
      </w:r>
      <w:r w:rsidRPr="00857048">
        <w:rPr>
          <w:rFonts w:cs="Arial"/>
          <w:noProof/>
          <w:sz w:val="20"/>
        </w:rPr>
        <w:fldChar w:fldCharType="end"/>
      </w:r>
      <w:r w:rsidRPr="00857048">
        <w:rPr>
          <w:rFonts w:cs="Arial"/>
          <w:noProof/>
          <w:sz w:val="20"/>
        </w:rPr>
        <w:t xml:space="preserve">, including, for example, food production, recreation, and tourism. Rural landscapes are bestowed with cultural heritage values that place emphasis on the conservation of the traditional character of agricultural landscapes, small-scale farming and consumption of local products </w:t>
      </w:r>
      <w:r w:rsidRPr="00857048">
        <w:rPr>
          <w:rFonts w:cs="Arial"/>
          <w:noProof/>
          <w:sz w:val="20"/>
        </w:rPr>
        <w:fldChar w:fldCharType="begin" w:fldLock="1"/>
      </w:r>
      <w:r w:rsidRPr="00857048">
        <w:rPr>
          <w:rFonts w:cs="Arial"/>
          <w:noProof/>
          <w:sz w:val="20"/>
        </w:rPr>
        <w:instrText>ADDIN CSL_CITATION { "citationItems" : [ { "id" : "ITEM-1", "itemData" : { "DOI" : "10.1016/j.jrurstud.2003.08.004", "ISSN" : "07430167", "abstract" : "Multifunctional agriculture attempts to establish a new balance between traditional commodity support and payment for the production of non-market goods and services that are increasingly demanded by the public. Supplying non-market goods presents particular problems for optimal policy design, not least the elicitation of consumer demand for those goods. The resulting configuration of support policy has potentially enormous implications for rural areas and yet surprisingly little is known about how the public would prefer public support to be allocated. This seems to have more to do with the political expediency than true public preferences. We review the evidence of consumer demand for non-market goods and consider the methodologies used for eliciting public preferences regarding the policy tradeoffs that are likely to characterise the agri-industry reform debate.", "author" : [ { "dropping-particle" : "", "family" : "Hall", "given" : "Clare", "non-dropping-particle" : "", "parse-names" : false, "suffix" : "" }, { "dropping-particle" : "", "family" : "McVittie", "given" : "Alistair", "non-dropping-particle" : "", "parse-names" : false, "suffix" : "" }, { "dropping-particle" : "", "family" : "Moran", "given" : "Dominic", "non-dropping-particle" : "", "parse-names" : false, "suffix" : "" } ], "container-title" : "Journal of Rural Studies", "id" : "ITEM-1", "issue" : "2", "issued" : { "date-parts" : [ [ "2004", "4" ] ] }, "page" : "211-225", "title" : "What does the public want from agriculture and the countryside? A review of evidence and methods", "type" : "article-journal", "volume" : "20" }, "uris" : [ "http://www.mendeley.com/documents/?uuid=8fac611c-4efa-4e31-888c-56daf630cd57" ] } ], "mendeley" : { "formattedCitation" : "(Hall et al., 2004)", "manualFormatting" : "(Hall et al., 2004)", "plainTextFormattedCitation" : "(Hall et al., 2004)", "previouslyFormattedCitation" : "(Hall et al., 2004)" }, "properties" : { "noteIndex" : 0 }, "schema" : "https://github.com/citation-style-language/schema/raw/master/csl-citation.json" }</w:instrText>
      </w:r>
      <w:r w:rsidRPr="00857048">
        <w:rPr>
          <w:rFonts w:cs="Arial"/>
          <w:noProof/>
          <w:sz w:val="20"/>
        </w:rPr>
        <w:fldChar w:fldCharType="separate"/>
      </w:r>
      <w:r w:rsidRPr="00857048">
        <w:rPr>
          <w:rFonts w:cs="Arial"/>
          <w:noProof/>
          <w:sz w:val="20"/>
        </w:rPr>
        <w:t>(Hall et al., 2004)</w:t>
      </w:r>
      <w:r w:rsidRPr="00857048">
        <w:rPr>
          <w:rFonts w:cs="Arial"/>
          <w:noProof/>
          <w:sz w:val="20"/>
        </w:rPr>
        <w:fldChar w:fldCharType="end"/>
      </w:r>
      <w:r w:rsidRPr="00857048">
        <w:rPr>
          <w:rFonts w:cs="Arial"/>
          <w:noProof/>
          <w:sz w:val="20"/>
        </w:rPr>
        <w:t xml:space="preserve">. Furthermore,  the cultural importance of rural landscapes is strongly reflected by the emotional bonds people have with such landscapes, often referred to as sense of place or place attachment </w:t>
      </w:r>
      <w:r w:rsidRPr="00857048">
        <w:rPr>
          <w:rFonts w:cs="Arial"/>
          <w:noProof/>
          <w:sz w:val="20"/>
        </w:rPr>
        <w:fldChar w:fldCharType="begin" w:fldLock="1"/>
      </w:r>
      <w:r w:rsidRPr="00857048">
        <w:rPr>
          <w:rFonts w:cs="Arial"/>
          <w:noProof/>
          <w:sz w:val="20"/>
        </w:rPr>
        <w:instrText>ADDIN CSL_CITATION { "citationItems" : [ { "id" : "ITEM-1", "itemData" : { "DOI" : "http://dx.doi.org/10.1016/j.landurbplan.2011.10.002", "ISSN" : "0169-2046", "abstract" : "Rural residents have different expectations concerning what the rural landscape should be like and what it should be used for. This is especially the case at the rural\u2013urban interface, where the characteristics of rural and urban landscapes have become blurred. In this article, the concept of sense of place is used to explore the relationship between humans and landscape at the rural\u2013urban fringe. Based on a quantitative survey data set, this article examines how the landscape perceptions of local residents can be understood from the basis of their sense of place in Nurmij\u00e4rvi, a municipality located close to the Helsinki Metropolitan Area in southern Finland. A factor analysis revealed four clusters: Socially connected, Weak bonds, Roots and resources and Committed to place. The clusters differed by their socio-economic profiles as well as their sense of place. The Roots and resources cluster differed most of the other clusters, but in general the differences between the clusters in general landscape perceptions were relatively small. Although a strong sense of place is often assumed to lead to care of place, the willingness to contribute to the landscape did not differ significantly between the clusters. In addition the study revealed the existence of two different approaches to landscape in the rural\u2013urban interface: landscape as a scenery and landscape as a dwelling place.", "author" : [ { "dropping-particle" : "", "family" : "Soini", "given" : "Katriina", "non-dropping-particle" : "", "parse-names" : false, "suffix" : "" }, { "dropping-particle" : "", "family" : "Vaarala", "given" : "Hanne", "non-dropping-particle" : "", "parse-names" : false, "suffix" : "" }, { "dropping-particle" : "", "family" : "Pouta", "given" : "Eija", "non-dropping-particle" : "", "parse-names" : false, "suffix" : "" } ], "container-title" : "Landscape and Urban Planning", "id" : "ITEM-1", "issue" : "1", "issued" : { "date-parts" : [ [ "2012", "1" ] ] }, "page" : "124-134", "title" : "Residents\u2019 sense of place and landscape perceptions at the rural\u2013urban interface", "type" : "article-journal", "volume" : "104" }, "uris" : [ "http://www.mendeley.com/documents/?uuid=4378fc1f-b43f-40b3-a901-b29a27bc7ca7" ] }, { "id" : "ITEM-2", "itemData" : { "DOI" : "10.1016/j.landurbplan.2010.08.015", "ISSN" : "01692046", "abstract" : "Rural landscapes around the world, including those in New England, face intense development pressures from nearby urban areas. Sustaining rural landscapes requires protecting these lands from development and continuing traditional land stewardship by local residents. Government officials and planners need to understand the attitudes and perceptions of rural residents as the first step in planning for sustainability. This paper describes two studies in rural Massachusetts that explored the hypothesis that place attachment may be an important motivation affecting residents\u2019 attitudes toward land preservation. The first study used a photo-preference questionnaire to survey local residents about their attachment to the rural landscape, their perceptions of rural character, and their attitudes toward land protection. The second study used qualitative interviews with residents in the same region to add new insights to the survey results. Both studies found strong support by local residents for preserving rural character in their areas. Moreover, these studies found a positive correlation between local residents\u2019 support for land protection (both in general and on their own land) and their level of attachment for scenes of rural places in their area. This research presents compelling evidence that local residents\u2019 attachment to the rural landscape is a strong motivation for engaging in land stewardship and preservation efforts to sustain rural places and economies.", "author" : [ { "dropping-particle" : "", "family" : "Lokocz", "given" : "Elizabeth", "non-dropping-particle" : "", "parse-names" : false, "suffix" : "" }, { "dropping-particle" : "", "family" : "Ryan", "given" : "Robert L.", "non-dropping-particle" : "", "parse-names" : false, "suffix" : "" }, { "dropping-particle" : "", "family" : "Sadler", "given" : "Anna Jarita", "non-dropping-particle" : "", "parse-names" : false, "suffix" : "" } ], "container-title" : "Landscape and Urban Planning", "id" : "ITEM-2", "issue" : "2", "issued" : { "date-parts" : [ [ "2011", "2" ] ] }, "page" : "65-76", "title" : "Motivations for land protection and stewardship: Exploring place attachment and rural landscape character in Massachusetts", "type" : "article-journal", "volume" : "99" }, "uris" : [ "http://www.mendeley.com/documents/?uuid=844c647b-eb01-4c60-949c-483722874664" ] }, { "id" : "ITEM-3", "itemData" : { "DOI" : "10.1016/j.landurbplan.2008.02.001", "ISSN" : "01692046", "abstract" : "Low-density residential development has had a tremendous impact on the rural New England landscape. The costs of sprawl have been well documented in terms of land use and environmental impacts; however, there has been less research on the psychological impacts of sprawl. Place attachment is an area of research that seeks to understand the emotional and psychological connections between people and place. It is important to understand and recognize the emotional attachment local residents may have to the rural landscape, particularly for planners who must address both conservation and residential development in rural areas. This study explores local residents\u2019 attachment to the rural landscape in a small but fast-growing town in Maine. In particular, the study utilized a photo-preference survey to ascertain the level of attachment that local residents have to different landscape types. Further, this study examined the influence that landscape attachment has on residents\u2019 willingness to engage in conservation and land use planning strategies (e.g. farmland protection, historic preservation, zoning, and other land use planning tools). Results indicate that there is a strong positive correlation between rural residents\u2019 level of support for conservation planning and their level of attachment to the landscape. This study renders new evidence for landscape planners that attachment to the land can be a strong motivation for building local residents\u2019 support for land protection strategies.", "author" : [ { "dropping-particle" : "", "family" : "Walker", "given" : "Amanda J.", "non-dropping-particle" : "", "parse-names" : false, "suffix" : "" }, { "dropping-particle" : "", "family" : "Ryan", "given" : "Robert L.", "non-dropping-particle" : "", "parse-names" : false, "suffix" : "" } ], "container-title" : "Landscape and Urban Planning", "id" : "ITEM-3", "issue" : "2", "issued" : { "date-parts" : [ [ "2008", "5" ] ] }, "page" : "141-152", "title" : "Place attachment and landscape preservation in rural New England: A Maine case study", "type" : "article-journal", "volume" : "86" }, "uris" : [ "http://www.mendeley.com/documents/?uuid=00c1c62a-5b21-4fc9-84b5-3dc23da9e96a" ] } ], "mendeley" : { "formattedCitation" : "(Lokocz et al., 2011; Soini et al., 2012; Walker and Ryan, 2008)", "plainTextFormattedCitation" : "(Lokocz et al., 2011; Soini et al., 2012; Walker and Ryan, 2008)", "previouslyFormattedCitation" : "(Lokocz et al., 2011; Soini et al., 2012; Walker and Ryan, 2008)" }, "properties" : { "noteIndex" : 0 }, "schema" : "https://github.com/citation-style-language/schema/raw/master/csl-citation.json" }</w:instrText>
      </w:r>
      <w:r w:rsidRPr="00857048">
        <w:rPr>
          <w:rFonts w:cs="Arial"/>
          <w:noProof/>
          <w:sz w:val="20"/>
        </w:rPr>
        <w:fldChar w:fldCharType="separate"/>
      </w:r>
      <w:r w:rsidRPr="00857048">
        <w:rPr>
          <w:rFonts w:cs="Arial"/>
          <w:noProof/>
          <w:sz w:val="20"/>
        </w:rPr>
        <w:t>(Lokocz et al., 2011; Soini et al., 2012; Walker and Ryan, 2008)</w:t>
      </w:r>
      <w:r w:rsidRPr="00857048">
        <w:rPr>
          <w:rFonts w:cs="Arial"/>
          <w:noProof/>
          <w:sz w:val="20"/>
        </w:rPr>
        <w:fldChar w:fldCharType="end"/>
      </w:r>
      <w:r w:rsidRPr="00857048">
        <w:rPr>
          <w:rFonts w:cs="Arial"/>
          <w:noProof/>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 xml:space="preserve">The growing concern about negative impacts from urbanization has led to a large set of policy instruments to manage urban growth and minimize its impact on open space </w:t>
      </w:r>
      <w:r w:rsidRPr="00857048">
        <w:rPr>
          <w:rFonts w:cs="Arial"/>
          <w:sz w:val="20"/>
        </w:rPr>
        <w:fldChar w:fldCharType="begin" w:fldLock="1"/>
      </w:r>
      <w:r w:rsidRPr="00857048">
        <w:rPr>
          <w:rFonts w:cs="Arial"/>
          <w:sz w:val="20"/>
        </w:rPr>
        <w:instrText>ADDIN CSL_CITATION { "citationItems" : [ { "id" : "ITEM-1", "itemData" : { "DOI" : "10.1016/j.landurbplan.2003.08.007", "ISSN" : "01692046", "abstract" : "The public sector in the United States has responded to growing concern about the social and environmental costs of sprawling development patterns by creating a wide range of policy instruments designed to manage urban growth and protect open space. These techniques have been implemented at the local, regional, state and, to a limited extent, national levels. This paper provides a systematic review of the extensive literature that describes these public policies and their implementation. The main public policy instruments for managing urban growth and protecting open space at various governmental levels are identified and briefly described, including public acquisition of land, regulatory approaches, and incentive-based approaches. Key lessons are gleaned from the literature on the implementation of growth management policies. Our assessment of lessons found: (1) a lack of empirical evaluations of growth management policies, (2) administrative efficiency and other details of policy implementation\u2014rather than the general type of policy\u2014are critical in determining their effectiveness, (3) the use of multiple policy instruments that reinforce and complement each other is needed to increase effectiveness and avoid unintended consequences, (4) vertical and horizontal coordination are critical for successful growth management but are often inadequate or lacking, and (5) meaningful stakeholder participation throughout the planning process and implementation is a cornerstone of effective growth management. Faced with a growing population and increasingly land consumptive development patterns, more effective policies and programs will be required to stem the tide of urban sprawl in the United States. We conclude with a discussion of potential federal roles in managing development and coordinating state, regional, and local growth management efforts.", "author" : [ { "dropping-particle" : "", "family" : "Bengston", "given" : "David N.", "non-dropping-particle" : "", "parse-names" : false, "suffix" : "" }, { "dropping-particle" : "", "family" : "Fletcher", "given" : "Jennifer O.", "non-dropping-particle" : "", "parse-names" : false, "suffix" : "" }, { "dropping-particle" : "", "family" : "Nelson", "given" : "Kristen C.", "non-dropping-particle" : "", "parse-names" : false, "suffix" : "" } ], "container-title" : "Landscape and Urban Planning", "id" : "ITEM-1", "issue" : "2-3", "issued" : { "date-parts" : [ [ "2004", "8" ] ] }, "page" : "271-286", "title" : "Public policies for managing urban growth and protecting open space: policy instruments and lessons learned in the United States", "type" : "article-journal", "volume" : "69" }, "uris" : [ "http://www.mendeley.com/documents/?uuid=5b8b2ec7-ddfb-424d-9a3b-af55fd2bf81b" ] }, { "id" : "ITEM-2", "itemData" : { "DOI" : "10.1080/09654313.2012.722927", "ISSN" : "0965-4313", "abstract" : "The compact city has become a leading concept in the planning of peri-urban areas. The compact city concept is often advocated as \u201csustainable\u201d because of claims that include lower emissions and conservation of the countryside. The literature shows, however, that there are certain trade-offs in striving for compaction, especially between environmental and social aspects of sustainability. In this article, we describe expressions of the compact city concept in the planning practice of several European urban sample regions, as well as policies and developments that contradict the compact city. We look at examples of positive and negative impacts of the compact city that were observed in the sample regions. Further, we discuss attempts by planners to deal with sustainability trade-offs. Being aware that developments in the peri-urban areas are closely connected to those in the inner city, we compare the sample regions in order to learn how the compact city concept has been used in planning peri-urban areas a...", "author" : [ { "dropping-particle" : "", "family" : "Westerink", "given" : "Judith", "non-dropping-particle" : "", "parse-names" : false, "suffix" : "" }, { "dropping-particle" : "", "family" : "Haase", "given" : "Dagmar", "non-dropping-particle" : "", "parse-names" : false, "suffix" : "" }, { "dropping-particle" : "", "family" : "Bauer", "given" : "Annette", "non-dropping-particle" : "", "parse-names" : false, "suffix" : "" }, { "dropping-particle" : "", "family" : "Ravetz", "given" : "Joe", "non-dropping-particle" : "", "parse-names" : false, "suffix" : "" }, { "dropping-particle" : "", "family" : "Jarrige", "given" : "Fran\u00e7oise", "non-dropping-particle" : "", "parse-names" : false, "suffix" : "" }, { "dropping-particle" : "", "family" : "Aalbers", "given" : "Carmen B.E. M.", "non-dropping-particle" : "", "parse-names" : false, "suffix" : "" } ], "container-title" : "European Planning Studies", "id" : "ITEM-2", "issue" : "4", "issued" : { "date-parts" : [ [ "2013", "4", "10" ] ] }, "language" : "en", "page" : "473-497", "publisher" : "Routledge", "title" : "Dealing with Sustainability Trade-Offs of the Compact City in Peri-Urban Planning Across European City Regions", "type" : "article-journal", "volume" : "21" }, "uris" : [ "http://www.mendeley.com/documents/?uuid=6309f182-b2d7-41cc-95a2-9d7ec433fe90" ] } ], "mendeley" : { "formattedCitation" : "(Bengston et al., 2004; Westerink et al., 2013)", "manualFormatting" : "(Bengston et al., 2004; Westerink et al., 2013)", "plainTextFormattedCitation" : "(Bengston et al., 2004; Westerink et al., 2013)", "previouslyFormattedCitation" : "(Bengston et al., 2004; Westerink et al.,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(Bengston et al., 2004; Westerink et al., 2013)</w:t>
      </w:r>
      <w:r w:rsidRPr="00857048">
        <w:rPr>
          <w:rFonts w:cs="Arial"/>
          <w:sz w:val="20"/>
        </w:rPr>
        <w:fldChar w:fldCharType="end"/>
      </w:r>
      <w:r w:rsidRPr="00857048">
        <w:rPr>
          <w:rFonts w:cs="Arial"/>
          <w:sz w:val="20"/>
        </w:rPr>
        <w:t xml:space="preserve">. These instruments include steps to avoid, reduce and offset impacts on the environment, the so-called ‘mitigation hierarchy’ </w:t>
      </w:r>
      <w:r w:rsidRPr="00857048">
        <w:rPr>
          <w:rFonts w:cs="Arial"/>
          <w:sz w:val="20"/>
        </w:rPr>
        <w:fldChar w:fldCharType="begin" w:fldLock="1"/>
      </w:r>
      <w:r w:rsidRPr="00857048">
        <w:rPr>
          <w:rFonts w:cs="Arial"/>
          <w:sz w:val="20"/>
        </w:rPr>
        <w:instrText>ADDIN CSL_CITATION { "citationItems" : [ { "id" : "ITEM-1", "itemData" : { "id" : "ITEM-1", "issued" : { "date-parts" : [ [ "2012" ] ] }, "publisher-place" : "Washington DC", "title" : "Standard on Biodiversity Offsets", "type" : "report" }, "uris" : [ "http://www.mendeley.com/documents/?uuid=e0d45ad9-dedb-4cec-abb5-e2e18a03ecd5" ] } ], "mendeley" : { "formattedCitation" : "(&lt;i&gt;Standard on Biodiversity Offsets&lt;/i&gt;, 2012)", "manualFormatting" : "(BBOP, 2012)", "plainTextFormattedCitation" : "(Standard on Biodiversity Offsets, 2012)", "previouslyFormattedCitation" : "(&lt;i&gt;Standard on Biodiversity Offsets&lt;/i&gt;, 2012)" }, "properties" : { "noteIndex" : 0 }, "schema" : "https://github.com/citation-style-language/schema/raw/master/csl-citation.json" }</w:instrText>
      </w:r>
      <w:r w:rsidRPr="00857048">
        <w:rPr>
          <w:rFonts w:cs="Arial"/>
          <w:sz w:val="20"/>
        </w:rPr>
        <w:fldChar w:fldCharType="separate"/>
      </w:r>
      <w:r w:rsidRPr="00857048">
        <w:rPr>
          <w:rFonts w:cs="Arial"/>
          <w:noProof/>
          <w:sz w:val="20"/>
        </w:rPr>
        <w:t>(BBOP, 2012)</w:t>
      </w:r>
      <w:r w:rsidRPr="00857048">
        <w:rPr>
          <w:rFonts w:cs="Arial"/>
          <w:sz w:val="20"/>
        </w:rPr>
        <w:fldChar w:fldCharType="end"/>
      </w:r>
      <w:r w:rsidRPr="00857048">
        <w:rPr>
          <w:rFonts w:cs="Arial"/>
          <w:sz w:val="20"/>
        </w:rPr>
        <w:t xml:space="preserve">. Particularly the last step, biodiversity offsets - which aim to ensure that unavoidable adverse environmental impacts of development are </w:t>
      </w:r>
      <w:r w:rsidRPr="00857048">
        <w:rPr>
          <w:rFonts w:cs="Arial"/>
          <w:sz w:val="20"/>
        </w:rPr>
        <w:lastRenderedPageBreak/>
        <w:t xml:space="preserve">counterbalanced by environmental gains to achieve a net neutral or beneficial outcome aim - is receiving much attention </w:t>
      </w:r>
      <w:r w:rsidRPr="00857048">
        <w:rPr>
          <w:rFonts w:cs="Arial"/>
          <w:sz w:val="20"/>
        </w:rPr>
        <w:fldChar w:fldCharType="begin" w:fldLock="1"/>
      </w:r>
      <w:r w:rsidRPr="00857048">
        <w:rPr>
          <w:rFonts w:cs="Arial"/>
          <w:sz w:val="20"/>
        </w:rPr>
        <w:instrText>ADDIN CSL_CITATION { "citationItems" : [ { "id" : "ITEM-1", "itemData" : { "DOI" : "10.1038/523401a", "ISSN" : "0028-0836", "author" : [ { "dropping-particle" : "", "family" : "Maron", "given" : "Martine", "non-dropping-particle" : "", "parse-names" : false, "suffix" : "" }, { "dropping-particle" : "", "family" : "Gordon", "given" : "Ascelin", "non-dropping-particle" : "", "parse-names" : false, "suffix" : "" }, { "dropping-particle" : "", "family" : "Mackey", "given" : "Brendan G.", "non-dropping-particle" : "", "parse-names" : false, "suffix" : "" }, { "dropping-particle" : "", "family" : "Possingham", "given" : "Hugh P.", "non-dropping-particle" : "", "parse-names" : false, "suffix" : "" }, { "dropping-particle" : "", "family" : "Watson", "given" : "James E. M.", "non-dropping-particle" : "", "parse-names" : false, "suffix" : "" } ], "container-title" : "Nature", "id" : "ITEM-1", "issue" : "7561", "issued" : { "date-parts" : [ [ "2015", "7", "22" ] ] }, "page" : "401-403", "title" : "Conservation: Stop misuse of biodiversity offsets", "type" : "article-journal", "volume" : "523" }, "uris" : [ "http://www.mendeley.com/documents/?uuid=8270ce95-b957-4419-866c-6d1e5cbf5d40" ] }, { "id" : "ITEM-2", "itemData" : { "DOI" : "10.1007/s00267-009-9396-3", "ISSN" : "1432-1009", "PMID" : "19924472", "abstract" : "Biodiversity offsets seek to compensate for residual environmental impacts of planned developments after appropriate steps have been taken to avoid, minimize or restore impacts on site. Offsets are emerging as an increasingly employed mechanism for achieving net environmental benefits, with offset policies being advanced in a wide range of countries (i.e., United States, Australia, Brazil, Colombia, and South Africa). To support policy development for biodiversity offsets, we review a set of major offset policy frameworks-US wetlands mitigation, US conservation banking, EU Natura 2000, Australian offset policies in New South Wales, Victoria, and Western Australia, and Brazilian industrial and forest offsets. We compare how the frameworks define offset policy goals, approach the mitigation process, and address six key issues for implementing offsets: (1) equivalence of project impacts with offset gains; (2) location of the offset relative to the impact site; (3) \"additionality\" (a new contribution to conservation) and acceptable types of offsets; (4) timing of project impacts versus offset benefits; (5) offset duration and compliance; and (6) \"currency\" and mitigation replacement ratios. We find substantial policy commonalities that may serve as a sound basis for future development of biodiversity offsets policy. We also identify issues requiring further policy guidance, including how best to: (1) ensure conformance with the mitigation hierarchy; (2) identify the most environmentally preferable offsets within a landscape context; and (3) determine appropriate mitigation replacement ratios.", "author" : [ { "dropping-particle" : "", "family" : "McKenney", "given" : "Bruce A", "non-dropping-particle" : "", "parse-names" : false, "suffix" : "" }, { "dropping-particle" : "", "family" : "Kiesecker", "given" : "Joseph M", "non-dropping-particle" : "", "parse-names" : false, "suffix" : "" } ], "container-title" : "Environmental management", "id" : "ITEM-2", "issue" : "1", "issued" : { "date-parts" : [ [ "2010", "1" ] ] }, "page" : "165-76", "title" : "Policy development for biodiversity offsets: a review of offset frameworks.", "type" : "article-journal", "volume" : "45" }, "uris" : [ "http://www.mendeley.com/documents/?uuid=724c6916-5dde-421d-9677-7c2dbf83bef2" ] }, { "id" : "ITEM-3", "itemData" : { "DOI" : "10.1111/j.1526-100X.2008.00382.x", "ISSN" : "10612971", "author" : [ { "dropping-particle" : "", "family" : "Moilanen", "given" : "Atte", "non-dropping-particle" : "", "parse-names" : false, "suffix" : "" }, { "dropping-particle" : "", "family" : "Teeffelen", "given" : "Astrid J. A.", "non-dropping-particle" : "van", "parse-names" : false, "suffix" : "" }, { "dropping-particle" : "", "family" : "Ben-Haim", "given" : "Yakov", "non-dropping-particle" : "", "parse-names" : false, "suffix" : "" }, { "dropping-particle" : "", "family" : "Ferrier", "given" : "Simon", "non-dropping-particle" : "", "parse-names" : false, "suffix" : "" } ], "container-title" : "Restoration Ecology", "id" : "ITEM-3", "issue" : "4", "issued" : { "date-parts" : [ [ "2009", "7" ] ] }, "page" : "470-478", "title" : "How Much Compensation is Enough? A Framework for Incorporating Uncertainty and Time Discounting When Calculating Offset Ratios for Impacted Habitat", "type" : "article-journal", "volume" : "17" }, "uris" : [ "http://www.mendeley.com/documents/?uuid=5dcbd60e-d77e-4459-8f8a-3e0ae05ac420" ] } ], "mendeley" : { "formattedCitation" : "(Maron et al., 2015; McKenney and Kiesecker, 2010; Moilanen et al., 2009)", "plainTextFormattedCitation" : "(Maron et al., 2015; McKenney and Kiesecker, 2010; Moilanen et al., 2009)", "previouslyFormattedCitation" : "(Maron et al., 2015; McKenney and Kiesecker, 2010; Moilanen et al., 2009)" }, "properties" : { "noteIndex" : 0 }, "schema" : "https://github.com/citation-style-language/schema/raw/master/csl-citation.json" }</w:instrText>
      </w:r>
      <w:r w:rsidRPr="00857048">
        <w:rPr>
          <w:rFonts w:cs="Arial"/>
          <w:sz w:val="20"/>
        </w:rPr>
        <w:fldChar w:fldCharType="separate"/>
      </w:r>
      <w:r w:rsidRPr="00857048">
        <w:rPr>
          <w:rFonts w:cs="Arial"/>
          <w:noProof/>
          <w:sz w:val="20"/>
        </w:rPr>
        <w:t>(Maron et al., 2015; McKenney and Kiesecker, 2010; Moilanen et al., 2009)</w:t>
      </w:r>
      <w:r w:rsidRPr="00857048">
        <w:rPr>
          <w:rFonts w:cs="Arial"/>
          <w:sz w:val="20"/>
        </w:rPr>
        <w:fldChar w:fldCharType="end"/>
      </w:r>
      <w:r w:rsidRPr="00857048">
        <w:rPr>
          <w:rFonts w:cs="Arial"/>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 xml:space="preserve">The large majority of policies and studies dealing with environmental compensation have typically focused on biodiversity, protected habitats and species, and have neglected the impact of development on </w:t>
      </w:r>
      <w:r>
        <w:rPr>
          <w:rFonts w:cs="Arial"/>
          <w:sz w:val="20"/>
        </w:rPr>
        <w:t>ES</w:t>
      </w:r>
      <w:r w:rsidRPr="00857048">
        <w:rPr>
          <w:rFonts w:cs="Arial"/>
          <w:sz w:val="20"/>
        </w:rPr>
        <w:t xml:space="preserve">s </w:t>
      </w:r>
      <w:r w:rsidRPr="00857048">
        <w:rPr>
          <w:rFonts w:cs="Arial"/>
          <w:sz w:val="20"/>
        </w:rPr>
        <w:fldChar w:fldCharType="begin" w:fldLock="1"/>
      </w:r>
      <w:r w:rsidRPr="00857048">
        <w:rPr>
          <w:rFonts w:cs="Arial"/>
          <w:sz w:val="20"/>
        </w:rPr>
        <w:instrText>ADDIN CSL_CITATION { "citationItems" : [ { "id" : "ITEM-1", "itemData" : { "DOI" : "10.1080/14615517.2012.736763", "ISSN" : "1461-5517", "abstract" : "The healthy functioning of ecosystems is fundamental to human wellbeing, but sustainable development policies have failed to reverse global decline in biodiversity and ecosystem services. Accepting loss of biodiversity as a tradeoff for socio-economic gains means that the global ecological deficit continues to grow, with attendant risks for human wellbeing. While impact assessment has become more effective at identifying potential impacts on biodiversity, it has generally retained a \u2018damage limitation\u2019 focus, rather than striving to sustain, or even enhance, important biodiversity and ecosystem services. This paper recommends changes in how biodiversity is addressed in impact assessment to avoid increasing the ecological deficit. It considers whether, and how, integration of biodiversity offsets, namely measurable conservation outcomes to compensate for significant residual loss of biodiversity, can achieve \u2018no net loss\u2019 outcomes for biodiversity. It also reviews some of the implementation challenges. The...", "author" : [ { "dropping-particle" : "", "family" : "Brownlie", "given" : "Susie", "non-dropping-particle" : "", "parse-names" : false, "suffix" : "" }, { "dropping-particle" : "", "family" : "King", "given" : "Nicholas", "non-dropping-particle" : "", "parse-names" : false, "suffix" : "" }, { "dropping-particle" : "", "family" : "Treweek", "given" : "Jo", "non-dropping-particle" : "", "parse-names" : false, "suffix" : "" } ], "container-title" : "Impact Assessment and Project Appraisal", "id" : "ITEM-1", "issue" : "1", "issued" : { "date-parts" : [ [ "2013", "3", "7" ] ] }, "language" : "en", "page" : "24-33", "publisher" : "TF", "title" : "Biodiversity tradeoffs and offsets in impact assessment and decision making: can we stop the loss?", "type" : "article-journal", "volume" : "31" }, "uris" : [ "http://www.mendeley.com/documents/?uuid=a2c8b3cf-8f65-40ca-bfee-593bd387cbc3" ] }, { "id" : "ITEM-2", "itemData" : { "DOI" : "10.1016/j.eiar.2015.06.005", "ISSN" : "01959255", "abstract" : "Emerging development policies and lending standards call for consideration of ecosystem services when mitigating impacts from development, yet little guidance exists to inform this process. Here we propose a comprehensive framework for advancing both biodiversity and ecosystem service mitigation. We have clarified a means for choosing representative ecosystem service targets alongside biodiversity targets, identified servicesheds as a useful spatial unit for assessing ecosystem service avoidance, impact, and offset options, and discuss methods for consistent calculation of biodiversity and ecosystem service mitigation ratios. We emphasize the need to move away from area- and habitat-based assessment methods for both biodiversity and ecosystem services towards functional assessments at landscape or seascape scales. Such comprehensive assessments more accurately reflect cumulative impacts and variation in environmental quality, social needs and value preferences. The integrated framework builds on the experience of biodiversity mitigation while addressing the unique opportunities and challenges presented by ecosystem service mitigation. These advances contribute to growing potential for economic development planning and execution that will minimize impacts on nature and maximize human wellbeing.", "author" : [ { "dropping-particle" : "", "family" : "Tallis", "given" : "Heather", "non-dropping-particle" : "", "parse-names" : false, "suffix" : "" }, { "dropping-particle" : "", "family" : "Kennedy", "given" : "Christina M.", "non-dropping-particle" : "", "parse-names" : false, "suffix" : "" }, { "dropping-particle" : "", "family" : "Ruckelshaus", "given" : "Mary", "non-dropping-particle" : "", "parse-names" : false, "suffix" : "" }, { "dropping-particle" : "", "family" : "Goldstein", "given" : "Joshua", "non-dropping-particle" : "", "parse-names" : false, "suffix" : "" }, { "dropping-particle" : "", "family" : "Kiesecker", "given" : "Joseph M.", "non-dropping-particle" : "", "parse-names" : false, "suffix" : "" } ], "container-title" : "Environmental Impact Assessment Review", "id" : "ITEM-2", "issued" : { "date-parts" : [ [ "2015", "11" ] ] }, "page" : "21-34", "title" : "Mitigation for one &amp; all: An integrated framework for mitigation of development impacts on biodiversity and ecosystem services", "type" : "article-journal", "volume" : "55" }, "uris" : [ "http://www.mendeley.com/documents/?uuid=e3cb5083-cc19-4acb-b202-50e140a436f2" ] } ], "mendeley" : { "formattedCitation" : "(Brownlie et al., 2013; Tallis et al., 2015)", "plainTextFormattedCitation" : "(Brownlie et al., 2013; Tallis et al., 2015)", "previouslyFormattedCitation" : "(Brownlie et al., 2013; Tallis et al.,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(Brownlie et al., 2013; Tallis et al., 2015)</w:t>
      </w:r>
      <w:r w:rsidRPr="00857048">
        <w:rPr>
          <w:rFonts w:cs="Arial"/>
          <w:sz w:val="20"/>
        </w:rPr>
        <w:fldChar w:fldCharType="end"/>
      </w:r>
      <w:r w:rsidRPr="00857048">
        <w:rPr>
          <w:rFonts w:cs="Arial"/>
          <w:sz w:val="20"/>
        </w:rPr>
        <w:t xml:space="preserve">. This is problematic as environmental compensation is also intended to protect people from environmental degradation associated with development </w:t>
      </w:r>
      <w:r w:rsidRPr="00857048">
        <w:rPr>
          <w:rFonts w:cs="Arial"/>
          <w:sz w:val="20"/>
        </w:rPr>
        <w:fldChar w:fldCharType="begin" w:fldLock="1"/>
      </w:r>
      <w:r w:rsidRPr="00857048">
        <w:rPr>
          <w:rFonts w:cs="Arial"/>
          <w:sz w:val="20"/>
        </w:rPr>
        <w:instrText>ADDIN CSL_CITATION { "citationItems" : [ { "id" : "ITEM-1", "itemData" : { "DOI" : "10.1371/journal.pone.0107144", "ISSN" : "1932-6203", "PMID" : "25191758", "abstract" : "Attempts to meet biodiversity goals through application of the mitigation hierarchy have gained wide traction globally with increased development of public policy, lending standards, and corporate practices. With interest in biodiversity offsets increasing in Latin America, we seek to strengthen the basis for policy development through a review of major environmental licensing policy frameworks in Argentina, Brazil, Chile, Colombia, Mexico, Peru and Venezuela. Here we focused our review on an examination of national level policies to evaluate to which degree current provisions promote positive environmental outcomes. All the surveyed countries have national-level Environmental Impact Assessment laws or regulations that cover the habitats present in their territories. Although most countries enable the use of offsets only Brazil, Colombia, Mexico and Peru explicitly require their implementation. Our review has shown that while advancing quite detailed offset policies, most countries do not seem to have strong requirements regarding impact avoidance. Despite this deficiency most countries have a strong foundation from which to develop policy for biodiversity offsets, but several issues require further guidance, including how best to: (1) ensure conformance with the mitigation hierarchy; (2) identify the most environmentally preferable offsets within a landscape context; (3) determine appropriate mitigation replacement ratios; and (4) ensure appropriate time and effort is given to monitor offset performance.", "author" : [ { "dropping-particle" : "", "family" : "Villarroya", "given" : "Ana", "non-dropping-particle" : "", "parse-names" : false, "suffix" : "" }, { "dropping-particle" : "", "family" : "Barros", "given" : "Ana Cristina", "non-dropping-particle" : "", "parse-names" : false, "suffix" : "" }, { "dropping-particle" : "", "family" : "Kiesecker", "given" : "Joseph", "non-dropping-particle" : "", "parse-names" : false, "suffix" : "" } ], "container-title" : "PloS one", "id" : "ITEM-1", "issue" : "9", "issued" : { "date-parts" : [ [ "2014", "1", "5" ] ] }, "page" : "e107144", "publisher" : "Public Library of Science", "title" : "Policy development for environmental licensing and biodiversity offsets in Latin America.", "type" : "article-journal", "volume" : "9" }, "uris" : [ "http://www.mendeley.com/documents/?uuid=96d75684-5474-4b02-85d7-f49ab273eaea" ] } ], "mendeley" : { "formattedCitation" : "(Villarroya et al., 2014)", "manualFormatting" : "(Villarroya et al., 2014, Persson 2013)", "plainTextFormattedCitation" : "(Villarroya et al., 2014)", "previouslyFormattedCitation" : "(Villarroya et al., 2014)" }, "properties" : { "noteIndex" : 0 }, "schema" : "https://github.com/citation-style-language/schema/raw/master/csl-citation.json" }</w:instrText>
      </w:r>
      <w:r w:rsidRPr="00857048">
        <w:rPr>
          <w:rFonts w:cs="Arial"/>
          <w:sz w:val="20"/>
        </w:rPr>
        <w:fldChar w:fldCharType="separate"/>
      </w:r>
      <w:r w:rsidRPr="00857048">
        <w:rPr>
          <w:rFonts w:cs="Arial"/>
          <w:noProof/>
          <w:sz w:val="20"/>
        </w:rPr>
        <w:t>(Villarroya et al., 2014, Persson 2013)</w:t>
      </w:r>
      <w:r w:rsidRPr="00857048">
        <w:rPr>
          <w:rFonts w:cs="Arial"/>
          <w:sz w:val="20"/>
        </w:rPr>
        <w:fldChar w:fldCharType="end"/>
      </w:r>
      <w:r w:rsidRPr="00857048">
        <w:rPr>
          <w:rFonts w:cs="Arial"/>
          <w:sz w:val="20"/>
        </w:rPr>
        <w:t xml:space="preserve">. Environmental compensation efforts could follow a more holistic approach that includes both biodiversity and </w:t>
      </w:r>
      <w:r>
        <w:rPr>
          <w:rFonts w:cs="Arial"/>
          <w:sz w:val="20"/>
        </w:rPr>
        <w:t>ES</w:t>
      </w:r>
      <w:r w:rsidRPr="00857048">
        <w:rPr>
          <w:rFonts w:cs="Arial"/>
          <w:sz w:val="20"/>
        </w:rPr>
        <w:t>s, taking into account both ecological and social impacts. The European Commission aims to address this gap ‘ (NNL) initiative</w:t>
      </w:r>
      <w:r>
        <w:rPr>
          <w:rFonts w:cs="Arial"/>
          <w:sz w:val="20"/>
        </w:rPr>
        <w:t xml:space="preserve"> </w:t>
      </w:r>
      <w:r w:rsidRPr="00857048">
        <w:rPr>
          <w:rFonts w:cs="Arial"/>
          <w:sz w:val="20"/>
        </w:rPr>
        <w:t xml:space="preserve">as part of the EU Biodiversity Strategy to ensure no-net-loss of biodiversity and </w:t>
      </w:r>
      <w:r>
        <w:rPr>
          <w:rFonts w:cs="Arial"/>
          <w:sz w:val="20"/>
        </w:rPr>
        <w:t>ES</w:t>
      </w:r>
      <w:r w:rsidRPr="00857048">
        <w:rPr>
          <w:rFonts w:cs="Arial"/>
          <w:sz w:val="20"/>
        </w:rPr>
        <w:t xml:space="preserve">s </w:t>
      </w:r>
      <w:r w:rsidRPr="00857048">
        <w:rPr>
          <w:rFonts w:cs="Arial"/>
          <w:sz w:val="20"/>
        </w:rPr>
        <w:fldChar w:fldCharType="begin" w:fldLock="1"/>
      </w:r>
      <w:r w:rsidRPr="00857048">
        <w:rPr>
          <w:rFonts w:cs="Arial"/>
          <w:sz w:val="20"/>
        </w:rPr>
        <w:instrText>ADDIN CSL_CITATION { "citationItems" : [ { "id" : "ITEM-1", "itemData" : { "author" : [ { "dropping-particle" : "", "family" : "Tucker", "given" : "Graham", "non-dropping-particle" : "", "parse-names" : false, "suffix" : "" }, { "dropping-particle" : "", "family" : "Allen", "given" : "Ben", "non-dropping-particle" : "", "parse-names" : false, "suffix" : "" }, { "dropping-particle" : "", "family" : "Conway", "given" : "Mavourneen", "non-dropping-particle" : "", "parse-names" : false, "suffix" : "" }, { "dropping-particle" : "", "family" : "Dickie", "given" : "Ian", "non-dropping-particle" : "", "parse-names" : false, "suffix" : "" }, { "dropping-particle" : "", "family" : "Hart", "given" : "Kaley", "non-dropping-particle" : "", "parse-names" : false, "suffix" : "" }, { "dropping-particle" : "", "family" : "Rayment", "given" : "Matt", "non-dropping-particle" : "", "parse-names" : false, "suffix" : "" }, { "dropping-particle" : "", "family" : "Schulp", "given" : "Catharina", "non-dropping-particle" : "", "parse-names" : false, "suffix" : "" }, { "dropping-particle" : "", "family" : "Teeffelen", "given" : "Astrid", "non-dropping-particle" : "van", "parse-names" : false, "suffix" : "" } ], "id" : "ITEM-1", "issued" : { "date-parts" : [ [ "2013" ] ] }, "title" : "Policy Options for an EU No Net Loss Initiative", "type" : "report" }, "uris" : [ "http://www.mendeley.com/documents/?uuid=2efb0536-ad71-47f6-8809-c788f9936e86" ] } ], "mendeley" : { "formattedCitation" : "(Tucker et al., 2013)", "plainTextFormattedCitation" : "(Tucker et al., 2013)", "previouslyFormattedCitation" : "(Tucker et al.,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(Tucker et al., 2013)</w:t>
      </w:r>
      <w:r w:rsidRPr="00857048">
        <w:rPr>
          <w:rFonts w:cs="Arial"/>
          <w:sz w:val="20"/>
        </w:rPr>
        <w:fldChar w:fldCharType="end"/>
      </w:r>
      <w:r w:rsidRPr="00857048">
        <w:rPr>
          <w:rFonts w:cs="Arial"/>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 xml:space="preserve">To offset negative development impacts on biodiversity and </w:t>
      </w:r>
      <w:r>
        <w:rPr>
          <w:rFonts w:cs="Arial"/>
          <w:sz w:val="20"/>
        </w:rPr>
        <w:t>ES</w:t>
      </w:r>
      <w:r w:rsidRPr="00857048">
        <w:rPr>
          <w:rFonts w:cs="Arial"/>
          <w:sz w:val="20"/>
        </w:rPr>
        <w:t xml:space="preserve">s in rural landscapes,  the restoration of landscape elements, e.g. hedgerows, and woodland patches, has been suggested </w:t>
      </w:r>
      <w:r w:rsidRPr="00857048">
        <w:rPr>
          <w:rFonts w:cs="Arial"/>
          <w:sz w:val="20"/>
        </w:rPr>
        <w:fldChar w:fldCharType="begin" w:fldLock="1"/>
      </w:r>
      <w:r w:rsidRPr="00857048">
        <w:rPr>
          <w:rFonts w:cs="Arial"/>
          <w:sz w:val="20"/>
        </w:rPr>
        <w:instrText>ADDIN CSL_CITATION { "citationItems" : [ { "id" : "ITEM-1", "itemData" : { "DOI" : "10.1007/s10021-012-9552-0", "ISSN" : "1432-9840", "author" : [ { "dropping-particle" : "", "family" : "Rey Benayas", "given" : "Jos\u00e9 M.", "non-dropping-particle" : "", "parse-names" : false, "suffix" : "" }, { "dropping-particle" : "", "family" : "Bullock", "given" : "James M.", "non-dropping-particle" : "", "parse-names" : false, "suffix" : "" } ], "container-title" : "Ecosystems", "id" : "ITEM-1", "issue" : "6", "issued" : { "date-parts" : [ [ "2012", "5", "19" ] ] }, "page" : "883-899", "title" : "Restoration of Biodiversity and Ecosystem Services on Agricultural Land", "type" : "article-journal", "volume" : "15" }, "uris" : [ "http://www.mendeley.com/documents/?uuid=b3f4b091-cdc0-4732-8f82-ca028f91133b" ] }, { "id" : "ITEM-2", "itemData" : { "DOI" : "10.1890/1540-9295(2006)004[0080:BEFART]2.0.CO;2", "ISBN" : "1540-9295", "ISSN" : "15409295", "PMID" : "13110579", "abstract" : "Biodiversity conservation in forestry and agricultural landscapes is important because (1) reserves alone will not protect biodiversity; (2) commodity production relies on vital services provided by biodiversity; and (3) biodiversity enhances resilience, or a system\u2019s capacity to recover from external pressures such as droughts or management mistakes. We suggest ten guiding principles to help maintain biodiversity, ecosystem function, and resilience in production landscapes. Landscapes should include structurally characteristic patches of native vegetation, corridors and stepping stones between them, a structurally complex matrix, and buffers around sensitive areas. Management should maintain a diversity of species within and across functional groups. Highly focused management actions may be required to maintain keystone species and threatened species, and to control invasive species. These guiding principles provide a scientifically defensible starting point for the integration of conservation and production, which is urgently required from both an ecological and a long-term economic perspective.", "author" : [ { "dropping-particle" : "", "family" : "Fischer", "given" : "Joern", "non-dropping-particle" : "", "parse-names" : false, "suffix" : "" }, { "dropping-particle" : "", "family" : "Lindenmayer", "given" : "David B.", "non-dropping-particle" : "", "parse-names" : false, "suffix" : "" }, { "dropping-particle" : "", "family" : "Manning", "given" : "Adrian D.", "non-dropping-particle" : "", "parse-names" : false, "suffix" : "" } ], "container-title" : "Frontiers in Ecology and the Environment", "id" : "ITEM-2", "issue" : "2", "issued" : { "date-parts" : [ [ "2006" ] ] }, "page" : "80-86", "title" : "Biodiversity, ecosystem function, and resilience: Ten guiding principles for commodity production landscapes", "type" : "article-journal", "volume" : "4" }, "uris" : [ "http://www.mendeley.com/documents/?uuid=497d20c0-c6b6-4853-a5b0-2fd9a9249762" ] } ], "mendeley" : { "formattedCitation" : "(Fischer et al., 2006; Rey Benayas and Bullock, 2012)", "plainTextFormattedCitation" : "(Fischer et al., 2006; Rey Benayas and Bullock, 2012)", "previouslyFormattedCitation" : "(Fischer et al., 2006; Rey Benayas and Bullock, 2012)" }, "properties" : { "noteIndex" : 0 }, "schema" : "https://github.com/citation-style-language/schema/raw/master/csl-citation.json" }</w:instrText>
      </w:r>
      <w:r w:rsidRPr="00857048">
        <w:rPr>
          <w:rFonts w:cs="Arial"/>
          <w:sz w:val="20"/>
        </w:rPr>
        <w:fldChar w:fldCharType="separate"/>
      </w:r>
      <w:r w:rsidRPr="00857048">
        <w:rPr>
          <w:rFonts w:cs="Arial"/>
          <w:noProof/>
          <w:sz w:val="20"/>
        </w:rPr>
        <w:t>(Fischer et al., 2006; Rey Benayas and Bullock, 2012)</w:t>
      </w:r>
      <w:r w:rsidRPr="00857048">
        <w:rPr>
          <w:rFonts w:cs="Arial"/>
          <w:sz w:val="20"/>
        </w:rPr>
        <w:fldChar w:fldCharType="end"/>
      </w:r>
      <w:r w:rsidRPr="00857048">
        <w:rPr>
          <w:rFonts w:cs="Arial"/>
          <w:sz w:val="20"/>
        </w:rPr>
        <w:t xml:space="preserve">. The effect of such pathways on improving habitat connectivity for plant and animal species has been widely studied </w:t>
      </w:r>
      <w:r w:rsidRPr="00857048">
        <w:rPr>
          <w:rFonts w:cs="Arial"/>
          <w:sz w:val="20"/>
        </w:rPr>
        <w:fldChar w:fldCharType="begin" w:fldLock="1"/>
      </w:r>
      <w:r w:rsidRPr="00857048">
        <w:rPr>
          <w:rFonts w:cs="Arial"/>
          <w:sz w:val="20"/>
        </w:rPr>
        <w:instrText>ADDIN CSL_CITATION { "citationItems" : [ { "id" : "ITEM-1", "itemData" : { "DOI" : "10.1016/S0169-5347(03)00011-9", "ISSN" : "01695347", "abstract" : "Agricultural intensification has led to a widespread decline in farmland biodiversity measured across many different taxa. The changes in agricultural practices affect many different aspects of the farmland habitat, but agricultural industry, policy and much previous research has tended to be concerned with specific sectors or practices (e.g. pesticide use or cereal husbandry). Here, we review the empirical literature to synthesize the research effort that has been directed to investigate specific practices or goals to make general statements regarding the causes and consequences of farmland biodiversity decline. We argue that the loss of ecological heterogeneity at multiple spatial and temporal scales is a universal consequence of multivariate agricultural intensification and, therefore, that future research should develop cross-cutting policy frameworks and management solutions that recreate that heterogeneity as the key to restoring and sustaining biodiversity in temperate agricultural systems.", "author" : [ { "dropping-particle" : "", "family" : "Benton", "given" : "Tim G.", "non-dropping-particle" : "", "parse-names" : false, "suffix" : "" }, { "dropping-particle" : "", "family" : "Vickery", "given" : "Juliet A.", "non-dropping-particle" : "", "parse-names" : false, "suffix" : "" }, { "dropping-particle" : "", "family" : "Wilson", "given" : "Jeremy D.", "non-dropping-particle" : "", "parse-names" : false, "suffix" : "" } ], "container-title" : "Trends in Ecology &amp; Evolution", "id" : "ITEM-1", "issue" : "4", "issued" : { "date-parts" : [ [ "2003", "4" ] ] }, "page" : "182-188", "title" : "Farmland biodiversity: is habitat heterogeneity the key?", "type" : "article-journal", "volume" : "18" }, "uris" : [ "http://www.mendeley.com/documents/?uuid=9ed45a50-cfaa-45bb-9c0b-586bb153b9bf" ] }, { "id" : "ITEM-2", "itemData" : { "DOI" : "10.1007/s10980-015-0187-3", "ISSN" : "0921-2973", "author" : [ { "dropping-particle" : "", "family" : "Teeffelen", "given" : "Astrid J. A.", "non-dropping-particle" : "Van", "parse-names" : false, "suffix" : "" }, { "dropping-particle" : "", "family" : "Vos", "given" : "Claire C.", "non-dropping-particle" : "", "parse-names" : false, "suffix" : "" }, { "dropping-particle" : "", "family" : "Jochem", "given" : "Rene", "non-dropping-particle" : "", "parse-names" : false, "suffix" : "" }, { "dropping-particle" : "", "family" : "Baveco", "given" : "Johannes M.", "non-dropping-particle" : "", "parse-names" : false, "suffix" : "" }, { "dropping-particle" : "", "family" : "Meeuwsen", "given" : "Henk", "non-dropping-particle" : "", "parse-names" : false, "suffix" : "" }, { "dropping-particle" : "", "family" : "Hilbers", "given" : "Jelle P.", "non-dropping-particle" : "", "parse-names" : false, "suffix" : "" } ], "container-title" : "Landscape Ecology", "id" : "ITEM-2", "issue" : "5", "issued" : { "date-parts" : [ [ "2015", "4", "4" ] ] }, "page" : "937-954", "title" : "Is green infrastructure an effective climate adaptation strategy for conserving biodiversity? A case study with the great crested newt", "type" : "article-journal", "volume" : "30" }, "uris" : [ "http://www.mendeley.com/documents/?uuid=c8203f46-3de9-4688-8cf5-2967e992e631" ] } ], "mendeley" : { "formattedCitation" : "(Benton et al., 2003; Van Teeffelen et al., 2015)", "manualFormatting" : "(e.g., Benton et al., 2003; Van Teeffelen et al., 2015)", "plainTextFormattedCitation" : "(Benton et al., 2003; Van Teeffelen et al., 2015)", "previouslyFormattedCitation" : "(Benton et al., 2003; Van Teeffelen et al.,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(e.g., Benton et al., 2003; Van Teeffelen et al., 2015)</w:t>
      </w:r>
      <w:r w:rsidRPr="00857048">
        <w:rPr>
          <w:rFonts w:cs="Arial"/>
          <w:sz w:val="20"/>
        </w:rPr>
        <w:fldChar w:fldCharType="end"/>
      </w:r>
      <w:r w:rsidRPr="00857048">
        <w:rPr>
          <w:rFonts w:cs="Arial"/>
          <w:sz w:val="20"/>
        </w:rPr>
        <w:t xml:space="preserve">, but to our knowledge no effort has been made to study the public perception of such restoration measures and their relation to social values for </w:t>
      </w:r>
      <w:r>
        <w:rPr>
          <w:rFonts w:cs="Arial"/>
          <w:sz w:val="20"/>
        </w:rPr>
        <w:t>ES</w:t>
      </w:r>
      <w:r w:rsidRPr="00857048">
        <w:rPr>
          <w:rFonts w:cs="Arial"/>
          <w:sz w:val="20"/>
        </w:rPr>
        <w:t xml:space="preserve">s. As part of the OPERAs project, we investigated the potential of environmental compensation measures to offset the impact of urban sprawl on biodiversity and </w:t>
      </w:r>
      <w:r>
        <w:rPr>
          <w:rFonts w:cs="Arial"/>
          <w:sz w:val="20"/>
        </w:rPr>
        <w:t>ES</w:t>
      </w:r>
      <w:r w:rsidRPr="00857048">
        <w:rPr>
          <w:rFonts w:cs="Arial"/>
          <w:sz w:val="20"/>
        </w:rPr>
        <w:t>s from a social perspective. We examined how local residents evaluate the use of environmental compensation, in the form of added landscape elements, in a rural residential development context. The specific aims were (</w:t>
      </w:r>
      <w:proofErr w:type="spellStart"/>
      <w:r w:rsidRPr="00857048">
        <w:rPr>
          <w:rFonts w:cs="Arial"/>
          <w:sz w:val="20"/>
        </w:rPr>
        <w:t>i</w:t>
      </w:r>
      <w:proofErr w:type="spellEnd"/>
      <w:r w:rsidRPr="00857048">
        <w:rPr>
          <w:rFonts w:cs="Arial"/>
          <w:sz w:val="20"/>
        </w:rPr>
        <w:t xml:space="preserve">) to measure the extent to which residents’ are willing to accept the offsetting of additional housing through restoration of landscape elements and associated </w:t>
      </w:r>
      <w:r>
        <w:rPr>
          <w:rFonts w:cs="Arial"/>
          <w:sz w:val="20"/>
        </w:rPr>
        <w:t>ES</w:t>
      </w:r>
      <w:r w:rsidRPr="00857048">
        <w:rPr>
          <w:rFonts w:cs="Arial"/>
          <w:sz w:val="20"/>
        </w:rPr>
        <w:t xml:space="preserve">s, (ii) to assess what type of environmental compensation is preferred, and (iii) to explain residents’ preferences by looking at attitudes towards residential development, values for </w:t>
      </w:r>
      <w:r>
        <w:rPr>
          <w:rFonts w:cs="Arial"/>
          <w:sz w:val="20"/>
        </w:rPr>
        <w:t>ES</w:t>
      </w:r>
      <w:r w:rsidRPr="00857048">
        <w:rPr>
          <w:rFonts w:cs="Arial"/>
          <w:sz w:val="20"/>
        </w:rPr>
        <w:t xml:space="preserve">s and socio-demographic variables. To test this we conducted a choice experiment in Scotland, where the number of households is expected to increase by 21% between 2008 and 2033 (GROS 2010). This increase poses a large challenge for the Scottish government to meet the related housing demand. The pressure for residential development in </w:t>
      </w:r>
      <w:proofErr w:type="spellStart"/>
      <w:r w:rsidRPr="00857048">
        <w:rPr>
          <w:rFonts w:cs="Arial"/>
          <w:sz w:val="20"/>
        </w:rPr>
        <w:t>peri</w:t>
      </w:r>
      <w:proofErr w:type="spellEnd"/>
      <w:r w:rsidRPr="00857048">
        <w:rPr>
          <w:rFonts w:cs="Arial"/>
          <w:sz w:val="20"/>
        </w:rPr>
        <w:t xml:space="preserve">-urban and rural areas has been the basis for much conflict and ‘has transformed the rural environment on the periphery of many of Britain’s cities into a battle ground’ </w:t>
      </w:r>
      <w:r w:rsidRPr="00857048">
        <w:rPr>
          <w:rFonts w:cs="Arial"/>
          <w:sz w:val="20"/>
        </w:rPr>
        <w:fldChar w:fldCharType="begin" w:fldLock="1"/>
      </w:r>
      <w:r w:rsidRPr="00857048">
        <w:rPr>
          <w:rFonts w:cs="Arial"/>
          <w:sz w:val="20"/>
        </w:rPr>
        <w:instrText>ADDIN CSL_CITATION { "citationItems" : [ { "id" : "ITEM-1", "itemData" : { "DOI" : "10.1016/j.landusepol.2012.09.013", "ISSN" : "02648377", "abstract" : "This longitudinal case study of residential development pressure in a village in Glasgow's urban fringe provides detailed insight into the different perspectives of key public, private and community interest groups, and exemplifies the conflict resolution process in this environment in the context of the new post-2006 planning system in Scotland. The paper is organised into six main parts. In part 1 the major actors in the residential development process are identified with specific attention focused on the house-builder and the local planner. In part 2 the post-2006 development planning and development management process in Scotland is explained in order to establish the legislative and procedural context for the case study. Part 3 provides a review of urban growth n the Glasgow metropolitan region. Part 4 sets the case study in local context by providing representative examples of development pressure and conflict resolution in the District. Part 5 comprises detailed examination of conflict over pressure for residential development in the village of Torrance from 1971 to the present day. This in depth analysis illuminates the main actors, agents and arguments involved in the conflict resolution process; explains the rationale for decisions reached on residential development in the village; and affords insight into contemporary debate over house-building in the metropolitan fringe around Scotland's cities. Finally, some conclusions are presented on the issues of fairness and sustainability in the land use planning system and the on-going conflict between private profit and public interest in the production of the built environment around the edge of Britain's cities.", "author" : [ { "dropping-particle" : "", "family" : "Pacione", "given" : "Michael", "non-dropping-particle" : "", "parse-names" : false, "suffix" : "" } ], "container-title" : "Land Use Policy", "id" : "ITEM-1", "issue" : "1", "issued" : { "date-parts" : [ [ "2013", "5", "24" ] ] }, "page" : "61-77", "title" : "Private profit, public interest and land use planning\u2014A conflict interpretation of residential development pressure in Glasgow's rural\u2013urban fringe", "type" : "article-journal", "volume" : "32" }, "uris" : [ "http://www.mendeley.com/documents/?uuid=95ce1831-0910-4efb-984a-b638b07cd931" ] } ], "mendeley" : { "formattedCitation" : "(Pacione, 2013)", "plainTextFormattedCitation" : "(Pacione, 2013)", "previouslyFormattedCitation" : "(Pacione,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(Pacione, 2013)</w:t>
      </w:r>
      <w:r w:rsidRPr="00857048">
        <w:rPr>
          <w:rFonts w:cs="Arial"/>
          <w:sz w:val="20"/>
        </w:rPr>
        <w:fldChar w:fldCharType="end"/>
      </w:r>
      <w:r w:rsidRPr="00857048">
        <w:rPr>
          <w:rFonts w:cs="Arial"/>
          <w:sz w:val="20"/>
        </w:rPr>
        <w:t xml:space="preserve">. </w:t>
      </w:r>
    </w:p>
    <w:p w:rsidR="003F789A" w:rsidRPr="00857048" w:rsidRDefault="003F789A" w:rsidP="0032165B">
      <w:pPr>
        <w:pStyle w:val="Heading3"/>
        <w:numPr>
          <w:ilvl w:val="2"/>
          <w:numId w:val="35"/>
        </w:numPr>
        <w:ind w:left="851" w:hanging="851"/>
      </w:pPr>
      <w:bookmarkStart w:id="61" w:name="_Toc436757145"/>
      <w:bookmarkStart w:id="62" w:name="_Toc436758084"/>
      <w:r>
        <w:t xml:space="preserve"> </w:t>
      </w:r>
      <w:bookmarkStart w:id="63" w:name="_Toc436915608"/>
      <w:bookmarkStart w:id="64" w:name="_Toc436916049"/>
      <w:r w:rsidRPr="00857048">
        <w:t>Study area</w:t>
      </w:r>
      <w:bookmarkEnd w:id="61"/>
      <w:bookmarkEnd w:id="62"/>
      <w:bookmarkEnd w:id="63"/>
      <w:bookmarkEnd w:id="64"/>
    </w:p>
    <w:p w:rsidR="003F789A" w:rsidRPr="00857048" w:rsidRDefault="003F789A" w:rsidP="00623376">
      <w:pPr>
        <w:spacing w:after="100" w:afterAutospacing="1" w:line="360" w:lineRule="auto"/>
        <w:rPr>
          <w:rFonts w:cs="Arial"/>
          <w:sz w:val="20"/>
        </w:rPr>
      </w:pPr>
      <w:r w:rsidRPr="00857048">
        <w:rPr>
          <w:rFonts w:cs="Arial"/>
          <w:sz w:val="20"/>
        </w:rPr>
        <w:t xml:space="preserve">Our study region, East Lothian, is one of the 32 council areas in Scotland (Fig 1.), covering an area of 679 km² east from Edinburgh, for which large population increases are expected. The population was estimated at 101,360 people in 2013 and is expected to grow by 10.3% to 111,800 in 2022 (East Lothian Council). </w:t>
      </w:r>
    </w:p>
    <w:p w:rsidR="003F789A" w:rsidRPr="00857048" w:rsidRDefault="003F789A" w:rsidP="00623376">
      <w:pPr>
        <w:spacing w:after="100" w:afterAutospacing="1" w:line="360" w:lineRule="auto"/>
        <w:rPr>
          <w:rFonts w:cs="Arial"/>
          <w:sz w:val="20"/>
        </w:rPr>
      </w:pPr>
      <w:r w:rsidRPr="00857048">
        <w:rPr>
          <w:rFonts w:cs="Arial"/>
          <w:sz w:val="20"/>
        </w:rPr>
        <w:lastRenderedPageBreak/>
        <w:t xml:space="preserve">The lowlands in East Lothian are one of the largest areas of high-quality farmland in Scotland. Since the 1940s, agricultural intensification has led to wide-spread loss of (semi-)natural habitats in </w:t>
      </w:r>
      <w:r w:rsidRPr="00857048">
        <w:rPr>
          <w:rFonts w:cs="Arial"/>
          <w:sz w:val="20"/>
        </w:rPr>
        <w:fldChar w:fldCharType="begin" w:fldLock="1"/>
      </w:r>
      <w:r w:rsidRPr="00857048">
        <w:rPr>
          <w:rFonts w:cs="Arial"/>
          <w:sz w:val="20"/>
        </w:rPr>
        <w:instrText>ADDIN CSL_CITATION { "citationItems" : [ { "id" : "ITEM-1", "itemData" : { "DOI" : "10.1016/S0016-7185(97)00006-7", "ISSN" : "00167185", "abstract" : "Aerial photographs, agricultural census data and information from questionnaire surveys are used to investigate changes in the agricultural landscape of East Lothian, Scotland, during the 1970s and 1980s. Photographs for 1972 and 1988 provide a guide to changes associated both with farmers' responses to the European Community's Common Agricultural Policy, operating in the United Kingdom from 1973, and to government initiatives advancing landscape amenity. Attention is given to changes that have reversed post-war removals of longstanding landscape features, notably hedgerows. The impacts of schemes promoting hedgerow replanting and landscape restoration are discussed. Although this part of lowland Scotland has experienced marked agricultural intensification, in the 1980s the majority of farmers became involved in government-sponsored schemes intended to improve the visual appearance and general amenity of the landscape.", "author" : [ { "dropping-particle" : "", "family" : "Ghaffar", "given" : "Abdul", "non-dropping-particle" : "", "parse-names" : false, "suffix" : "" }, { "dropping-particle" : "", "family" : "Robinson", "given" : "Guy M.", "non-dropping-particle" : "", "parse-names" : false, "suffix" : "" } ], "container-title" : "Geoforum", "id" : "ITEM-1", "issue" : "2", "issued" : { "date-parts" : [ [ "1997", "5" ] ] }, "page" : "205-217", "title" : "Restoring the agricultural landscape: the impact of government policies in East Lothian, Scotland", "type" : "article-journal", "volume" : "28" }, "uris" : [ "http://www.mendeley.com/documents/?uuid=a9c9a199-6592-4114-80c2-132a26314874" ] } ], "mendeley" : { "formattedCitation" : "(Ghaffar and Robinson, 1997)", "plainTextFormattedCitation" : "(Ghaffar and Robinson, 1997)", "previouslyFormattedCitation" : "(Ghaffar and Robinson, 1997)" }, "properties" : { "noteIndex" : 0 }, "schema" : "https://github.com/citation-style-language/schema/raw/master/csl-citation.json" }</w:instrText>
      </w:r>
      <w:r w:rsidRPr="00857048">
        <w:rPr>
          <w:rFonts w:cs="Arial"/>
          <w:sz w:val="20"/>
        </w:rPr>
        <w:fldChar w:fldCharType="separate"/>
      </w:r>
      <w:r w:rsidRPr="00857048">
        <w:rPr>
          <w:rFonts w:cs="Arial"/>
          <w:noProof/>
          <w:sz w:val="20"/>
        </w:rPr>
        <w:t>(Ghaffar and Robinson, 1997)</w:t>
      </w:r>
      <w:r w:rsidRPr="00857048">
        <w:rPr>
          <w:rFonts w:cs="Arial"/>
          <w:sz w:val="20"/>
        </w:rPr>
        <w:fldChar w:fldCharType="end"/>
      </w:r>
      <w:r w:rsidRPr="00857048">
        <w:rPr>
          <w:rFonts w:cs="Arial"/>
          <w:sz w:val="20"/>
        </w:rPr>
        <w:t>.  In 2000, the native woodland cover of East Lothian comprised only 0.9% of the total land area. In addition, lack of management had resulted in farm woodlands, especially hedgerows, becoming fragmented. While broadleaved woodland was subject to large-scale felling in the post-war period, the overall woodland cover increased because of the plantation of softwoods and mixed woodlands .  Overall, since the 1940s, the area has shown an increase in coniferous plantations, built land, transport corridors, recreation facilities (mostly golf courses), and bare ground (for mining/quarrying)</w:t>
      </w:r>
      <w:r>
        <w:rPr>
          <w:rFonts w:cs="Arial"/>
          <w:sz w:val="20"/>
        </w:rPr>
        <w:t>.</w:t>
      </w:r>
      <w:r w:rsidRPr="00857048">
        <w:rPr>
          <w:rFonts w:cs="Arial"/>
          <w:sz w:val="20"/>
        </w:rPr>
        <w:t xml:space="preserve"> At the same time this has led to a decrease in natural grasslands, broadleaved woodland, parkland and hedgerows in the area </w:t>
      </w:r>
      <w:r w:rsidRPr="00857048">
        <w:rPr>
          <w:rFonts w:cs="Arial"/>
          <w:sz w:val="20"/>
        </w:rPr>
        <w:fldChar w:fldCharType="begin" w:fldLock="1"/>
      </w:r>
      <w:r w:rsidRPr="00857048">
        <w:rPr>
          <w:rFonts w:cs="Arial"/>
          <w:sz w:val="20"/>
        </w:rPr>
        <w:instrText>ADDIN CSL_CITATION { "citationItems" : [ { "id" : "ITEM-1", "itemData" : { "author" : [ { "dropping-particle" : "", "family" : "East Lothian Fourth Statistical Account Society", "given" : "", "non-dropping-particle" : "", "parse-names" : false, "suffix" : "" } ], "editor" : [ { "dropping-particle" : "", "family" : "Baker", "given" : "Sonia", "non-dropping-particle" : "", "parse-names" : false, "suffix" : "" } ], "id" : "ITEM-1", "issued" : { "date-parts" : [ [ "2003" ] ] }, "publisher" : "East Lothian Council Library Service", "publisher-place" : "East Lothian", "title" : "East Lothian Fourth Statistical Account 1945-2000", "type" : "book" }, "uris" : [ "http://www.mendeley.com/documents/?uuid=1b695b7e-1a29-481f-989a-13a78cc8181d" ] } ], "mendeley" : { "formattedCitation" : "(East Lothian Fourth Statistical Account Society, 2003)", "plainTextFormattedCitation" : "(East Lothian Fourth Statistical Account Society, 2003)", "previouslyFormattedCitation" : "(East Lothian Fourth Statistical Account Society, 2003)" }, "properties" : { "noteIndex" : 0 }, "schema" : "https://github.com/citation-style-language/schema/raw/master/csl-citation.json" }</w:instrText>
      </w:r>
      <w:r w:rsidRPr="00857048">
        <w:rPr>
          <w:rFonts w:cs="Arial"/>
          <w:sz w:val="20"/>
        </w:rPr>
        <w:fldChar w:fldCharType="separate"/>
      </w:r>
      <w:r w:rsidRPr="00857048">
        <w:rPr>
          <w:rFonts w:cs="Arial"/>
          <w:noProof/>
          <w:sz w:val="20"/>
        </w:rPr>
        <w:t>(East Lothian Fourth Statistical Account Society, 2003)</w:t>
      </w:r>
      <w:r w:rsidRPr="00857048">
        <w:rPr>
          <w:rFonts w:cs="Arial"/>
          <w:sz w:val="20"/>
        </w:rPr>
        <w:fldChar w:fldCharType="end"/>
      </w:r>
      <w:r w:rsidRPr="00857048">
        <w:rPr>
          <w:rFonts w:cs="Arial"/>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 xml:space="preserve">The demand for new housing is estimated at around 5,000 dwellings per year for the entire area of Edinburgh and the Lothians. Brownfield land is prioritized in the allocation of new housing areas, but these areas are not adequate to meet the housing demand, making the loss of greenfield sites unavoidable. As additional housing is prohibited on greenfield sites within the green belt surrounding the city of Edinburgh, this has forced development to be allocated to areas in the rural countryside </w:t>
      </w:r>
      <w:r w:rsidRPr="00857048">
        <w:rPr>
          <w:rFonts w:cs="Arial"/>
          <w:sz w:val="20"/>
        </w:rPr>
        <w:fldChar w:fldCharType="begin" w:fldLock="1"/>
      </w:r>
      <w:r w:rsidRPr="00857048">
        <w:rPr>
          <w:rFonts w:cs="Arial"/>
          <w:sz w:val="20"/>
        </w:rPr>
        <w:instrText>ADDIN CSL_CITATION { "citationItems" : [ { "id" : "ITEM-1", "itemData" : { "id" : "ITEM-1", "issued" : { "date-parts" : [ [ "2004" ] ] }, "publisher-place" : "Edinburgh and the Lothians", "title" : "Edinburgh and the Lothians Structure Plan 2015", "type" : "report" }, "uris" : [ "http://www.mendeley.com/documents/?uuid=c3415352-3b3b-4170-b166-1f4e9de047a6" ] } ], "mendeley" : { "formattedCitation" : "(&lt;i&gt;Edinburgh and the Lothians Structure Plan 2015&lt;/i&gt;, 2004)", "manualFormatting" : "(Edinburgh and the Lothians Structure Plan 2015)", "plainTextFormattedCitation" : "(Edinburgh and the Lothians Structure Plan 2015, 2004)", "previouslyFormattedCitation" : "(&lt;i&gt;Edinburgh and the Lothians Structure Plan 2015&lt;/i&gt;, 2004)" }, "properties" : { "noteIndex" : 0 }, "schema" : "https://github.com/citation-style-language/schema/raw/master/csl-citation.json" }</w:instrText>
      </w:r>
      <w:r w:rsidRPr="00857048">
        <w:rPr>
          <w:rFonts w:cs="Arial"/>
          <w:sz w:val="20"/>
        </w:rPr>
        <w:fldChar w:fldCharType="separate"/>
      </w:r>
      <w:r w:rsidRPr="00857048">
        <w:rPr>
          <w:rFonts w:cs="Arial"/>
          <w:noProof/>
          <w:sz w:val="20"/>
        </w:rPr>
        <w:t>(Edinburgh and the Lothians Structure Plan 2015)</w:t>
      </w:r>
      <w:r w:rsidRPr="00857048">
        <w:rPr>
          <w:rFonts w:cs="Arial"/>
          <w:sz w:val="20"/>
        </w:rPr>
        <w:fldChar w:fldCharType="end"/>
      </w:r>
      <w:r w:rsidRPr="00857048">
        <w:rPr>
          <w:rFonts w:cs="Arial"/>
          <w:sz w:val="20"/>
        </w:rPr>
        <w:t xml:space="preserve">. </w:t>
      </w:r>
    </w:p>
    <w:p w:rsidR="003F789A" w:rsidRPr="00857048" w:rsidRDefault="003F789A" w:rsidP="0032165B">
      <w:pPr>
        <w:pStyle w:val="Heading3"/>
        <w:numPr>
          <w:ilvl w:val="2"/>
          <w:numId w:val="35"/>
        </w:numPr>
        <w:ind w:left="851" w:hanging="851"/>
      </w:pPr>
      <w:bookmarkStart w:id="65" w:name="_Toc436757146"/>
      <w:bookmarkStart w:id="66" w:name="_Toc436758085"/>
      <w:r>
        <w:t xml:space="preserve"> </w:t>
      </w:r>
      <w:bookmarkStart w:id="67" w:name="_Toc436915609"/>
      <w:bookmarkStart w:id="68" w:name="_Toc436916050"/>
      <w:r w:rsidRPr="00857048">
        <w:t>Methods</w:t>
      </w:r>
      <w:bookmarkEnd w:id="65"/>
      <w:bookmarkEnd w:id="66"/>
      <w:bookmarkEnd w:id="67"/>
      <w:bookmarkEnd w:id="68"/>
    </w:p>
    <w:p w:rsidR="003F789A" w:rsidRPr="00857048" w:rsidRDefault="003F789A" w:rsidP="00857048">
      <w:pPr>
        <w:spacing w:after="100" w:afterAutospacing="1" w:line="360" w:lineRule="auto"/>
        <w:rPr>
          <w:rFonts w:cs="Arial"/>
          <w:sz w:val="20"/>
        </w:rPr>
      </w:pPr>
      <w:r w:rsidRPr="00857048">
        <w:rPr>
          <w:rFonts w:cs="Arial"/>
          <w:sz w:val="20"/>
        </w:rPr>
        <w:t>To analy</w:t>
      </w:r>
      <w:r>
        <w:rPr>
          <w:rFonts w:cs="Arial"/>
          <w:sz w:val="20"/>
        </w:rPr>
        <w:t>s</w:t>
      </w:r>
      <w:r w:rsidRPr="00857048">
        <w:rPr>
          <w:rFonts w:cs="Arial"/>
          <w:sz w:val="20"/>
        </w:rPr>
        <w:t xml:space="preserve">e how respondents evaluate the use of woodland restoration to compensate for additional housing in the East Lothian, we used a Discrete Choice Experiment (DCE). Choice experiments are specifically suited to evaluate marginal landscape changes and trade-offs between landscape attributes </w:t>
      </w:r>
      <w:r w:rsidRPr="00857048">
        <w:rPr>
          <w:rFonts w:cs="Arial"/>
          <w:sz w:val="20"/>
        </w:rPr>
        <w:fldChar w:fldCharType="begin" w:fldLock="1"/>
      </w:r>
      <w:r w:rsidRPr="00857048">
        <w:rPr>
          <w:rFonts w:cs="Arial"/>
          <w:sz w:val="20"/>
        </w:rPr>
        <w:instrText>ADDIN CSL_CITATION { "citationItems" : [ { "id" : "ITEM-1", "itemData" : { "DOI" : "10.1016/j.jfe.2015.01.002", "ISSN" : "11046899", "abstract" : "Landscapes throughout the world are increasingly being altered as a result of human actions and natural processes, therefore necessitating urgent management. Acknowledging this situation, the European Landscape Convention (ELC) was approved in 2000 with the explicit objective of protecting, managing and planning European landscapes. In this paper, we provide empirical evidence on the suitability of the Discrete Choice Experiment (DCE) methodology for valuing multidimensional landscapes under the ELC. An application in the Basque Country, Spain, serves as an example to illustrate that the DCE methodology may be suitable for supporting the aims of the ELC because: (i) it is a tool for public consultation; (ii) it offers an insight into the relative attractiveness of key landscape attributes, such as native forests and farming activities; and (iii) it provides policy-makers with quantitative information on the public preferences for potential future landscape protection, management and planning programmes. The results highlight the important role that the conservation of native forests and the promotion of organic farming may play in the management of European landscapes, which in turn is found to be strongly culturally dependent.", "author" : [ { "dropping-particle" : "", "family" : "Ayala", "given" : "Amaia", "non-dropping-particle" : "de", "parse-names" : false, "suffix" : "" }, { "dropping-particle" : "", "family" : "Hoyos", "given" : "David", "non-dropping-particle" : "", "parse-names" : false, "suffix" : "" }, { "dropping-particle" : "", "family" : "Mariel", "given" : "Petr", "non-dropping-particle" : "", "parse-names" : false, "suffix" : "" } ], "container-title" : "Journal of Forest Economics", "id" : "ITEM-1", "issue" : "2", "issued" : { "date-parts" : [ [ "2015", "4" ] ] }, "page" : "79-96", "title" : "Suitability of discrete choice experiments for landscape management under the European Landscape Convention", "type" : "article-journal", "volume" : "21" }, "uris" : [ "http://www.mendeley.com/documents/?uuid=ef9364e4-3ae7-4ee0-9075-2aa5b158394e" ] }, { "id" : "ITEM-2", "itemData" : { "DOI" : "10.1016/j.ecolecon.2011.08.021", "ISSN" : "09218009", "abstract" : "This article presents a choice experiment analyzing multifunctional rural development policies targeting conservation and recovery of environmental, social and cultural assets. In choice experiments a base alternative is usually included in order to estimate the welfare change associated to policy proposals. This study is concerned with the much neglected issue of the impact on policy analysis of the definition of a \u2018status quo\u2019 alternative either as an objective assessment by experts, or as a self-reported perception by respondents. Convergent validity analysis and prospective policy scenarios show a significant impact of different status quo specifications on individuals' preferences and related welfare measures when complex and unfamiliar biophysical systems are involved in policy analysis and evaluation.", "author" : [ { "dropping-particle" : "", "family" : "Dom\u00ednguez-Torreiro", "given" : "Marcos", "non-dropping-particle" : "", "parse-names" : false, "suffix" : "" }, { "dropping-particle" : "", "family" : "Soli\u00f1o", "given" : "Mario", "non-dropping-particle" : "", "parse-names" : false, "suffix" : "" } ], "container-title" : "Ecological Economics", "id" : "ITEM-2", "issue" : "12", "issued" : { "date-parts" : [ [ "2011", "10" ] ] }, "page" : "2523-2531", "title" : "Provided and perceived status quo in choice experiments: Implications for valuing the outputs of multifunctional rural areas", "type" : "article-journal", "volume" : "70" }, "uris" : [ "http://www.mendeley.com/documents/?uuid=0e5d76f2-5cea-4e22-82b9-80966fac89c2" ] } ], "mendeley" : { "formattedCitation" : "(de Ayala et al., 2015; Dom\u00ednguez-Torreiro and Soli\u00f1o, 2011)", "plainTextFormattedCitation" : "(de Ayala et al., 2015; Dom\u00ednguez-Torreiro and Soli\u00f1o, 2011)", "previouslyFormattedCitation" : "(de Ayala et al., 2015; Dom\u00ednguez-Torreiro and Soli\u00f1o, 2011)" }, "properties" : { "noteIndex" : 0 }, "schema" : "https://github.com/citation-style-language/schema/raw/master/csl-citation.json" }</w:instrText>
      </w:r>
      <w:r w:rsidRPr="00857048">
        <w:rPr>
          <w:rFonts w:cs="Arial"/>
          <w:sz w:val="20"/>
        </w:rPr>
        <w:fldChar w:fldCharType="separate"/>
      </w:r>
      <w:r w:rsidRPr="00857048">
        <w:rPr>
          <w:rFonts w:cs="Arial"/>
          <w:noProof/>
          <w:sz w:val="20"/>
        </w:rPr>
        <w:t>(de Ayala et al., 2015; Domínguez-Torreiro and Soliño, 2011)</w:t>
      </w:r>
      <w:r w:rsidRPr="00857048">
        <w:rPr>
          <w:rFonts w:cs="Arial"/>
          <w:sz w:val="20"/>
        </w:rPr>
        <w:fldChar w:fldCharType="end"/>
      </w:r>
      <w:r w:rsidRPr="00857048">
        <w:rPr>
          <w:rFonts w:cs="Arial"/>
          <w:sz w:val="20"/>
        </w:rPr>
        <w:t xml:space="preserve">. Since the multifunctional character of rural landscapes is increasingly emphasized , choice experiments are frequently used to investigate public preferences for benefits provided by rural landscapes </w:t>
      </w:r>
      <w:r w:rsidRPr="00857048">
        <w:rPr>
          <w:rFonts w:cs="Arial"/>
          <w:sz w:val="20"/>
        </w:rPr>
        <w:fldChar w:fldCharType="begin" w:fldLock="1"/>
      </w:r>
      <w:r w:rsidRPr="00857048">
        <w:rPr>
          <w:rFonts w:cs="Arial"/>
          <w:sz w:val="20"/>
        </w:rPr>
        <w:instrText>ADDIN CSL_CITATION { "citationItems" : [ { "id" : "ITEM-1", "itemData" : { "DOI" : "10.1016/j.jfe.2015.01.002", "ISSN" : "11046899", "abstract" : "Landscapes throughout the world are increasingly being altered as a result of human actions and natural processes, therefore necessitating urgent management. Acknowledging this situation, the European Landscape Convention (ELC) was approved in 2000 with the explicit objective of protecting, managing and planning European landscapes. In this paper, we provide empirical evidence on the suitability of the Discrete Choice Experiment (DCE) methodology for valuing multidimensional landscapes under the ELC. An application in the Basque Country, Spain, serves as an example to illustrate that the DCE methodology may be suitable for supporting the aims of the ELC because: (i) it is a tool for public consultation; (ii) it offers an insight into the relative attractiveness of key landscape attributes, such as native forests and farming activities; and (iii) it provides policy-makers with quantitative information on the public preferences for potential future landscape protection, management and planning programmes. The results highlight the important role that the conservation of native forests and the promotion of organic farming may play in the management of European landscapes, which in turn is found to be strongly culturally dependent.", "author" : [ { "dropping-particle" : "", "family" : "Ayala", "given" : "Amaia", "non-dropping-particle" : "de", "parse-names" : false, "suffix" : "" }, { "dropping-particle" : "", "family" : "Hoyos", "given" : "David", "non-dropping-particle" : "", "parse-names" : false, "suffix" : "" }, { "dropping-particle" : "", "family" : "Mariel", "given" : "Petr", "non-dropping-particle" : "", "parse-names" : false, "suffix" : "" } ], "container-title" : "Journal of Forest Economics", "id" : "ITEM-1", "issue" : "2", "issued" : { "date-parts" : [ [ "2015", "4" ] ] }, "page" : "79-96", "title" : "Suitability of discrete choice experiments for landscape management under the European Landscape Convention", "type" : "article-journal", "volume" : "21" }, "uris" : [ "http://www.mendeley.com/documents/?uuid=ef9364e4-3ae7-4ee0-9075-2aa5b158394e" ] }, { "id" : "ITEM-2", "itemData" : { "DOI" : "10.1016/j.landurbplan.2012.06.001", "ISSN" : "01692046", "abstract" : "In planning landscape-related policy, such as agri-environmental measures, the European Landscape Convention emphasizes the need to account for the benefits that the population and various stakeholder groups obtain from the landscape. In this study, a choice experiment was employed to evaluate a programme that provides certain landscape attributes in a typical agricultural area. The data from a municipality-level case study in southern Finland revealed that the most valued attributes were the renovation of production buildings and the presence of grazing animals. A latent class model with covariates indicated the existence of heterogeneous preferences regarding the landscape attributes, with attitude variables being significant determinants of heterogeneity. One in five of the respondents even perceived disutility from changing the level of landscape attributes. Our findings have implications for integrating landscape planning in agri-environmental measures, such as supporting organic animal husbandry, which guarantees the presence of animals outside in the agricultural landscape.", "author" : [ { "dropping-particle" : "", "family" : "Grammatikopoulou", "given" : "Ioanna", "non-dropping-particle" : "", "parse-names" : false, "suffix" : "" }, { "dropping-particle" : "", "family" : "Pouta", "given" : "Eija", "non-dropping-particle" : "", "parse-names" : false, "suffix" : "" }, { "dropping-particle" : "", "family" : "Salmiovirta", "given" : "Maija", "non-dropping-particle" : "", "parse-names" : false, "suffix" : "" }, { "dropping-particle" : "", "family" : "Soini", "given" : "Katriina", "non-dropping-particle" : "", "parse-names" : false, "suffix" : "" } ], "container-title" : "Landscape and Urban Planning", "id" : "ITEM-2", "issue" : "2", "issued" : { "date-parts" : [ [ "2012", "8" ] ] }, "page" : "181-191", "publisher" : "Elsevier B.V.", "title" : "Heterogeneous preferences for agricultural landscape improvements in southern Finland", "type" : "article-journal", "volume" : "107" }, "uris" : [ "http://www.mendeley.com/documents/?uuid=616c72c0-b162-48d5-a79e-eaf87afe1509" ] }, { "id" : "ITEM-3", "itemData" : { "DOI" : "http://dx.doi.org/10.1016/j.ecolecon.2012.08.008", "ISSN" : "0921-8009", "abstract" : "We consider the choice experiment approach to valuation, due to its focus on tradeoffs between alternatives. Our study is not hypothetical, but implements a real-payment choice experiment (CE) for a multi-attribute good. We use two real wetland parcels to create over 18 descriptions of parcels for conservation under a 10-year development-rights contract. Our payment protocol mitigates incentives to understate willingness to pay through a provision point with a rebate of excess funds. Real choice questions captured significant values for spatial attributes of wetland conservation. Average respondents positively valued 73-acre parcels surrounded by woodland, but required 100 acres for parcels surrounded by residential or farm land, and accepted a 19-acre smaller parcel in exchange for full public access.", "author" : [ { "dropping-particle" : "", "family" : "Newell", "given" : "Laurie W", "non-dropping-particle" : "", "parse-names" : false, "suffix" : "" }, { "dropping-particle" : "", "family" : "Swallow", "given" : "Stephen K", "non-dropping-particle" : "", "parse-names" : false, "suffix" : "" } ], "container-title" : "Ecological Economics", "id" : "ITEM-3", "issue" : "0", "issued" : { "date-parts" : [ [ "2013", "8" ] ] }, "page" : "37-47", "title" : "Real-payment choice experiments: Valuing forested wetlands and spatial attributes within a landscape context", "type" : "article-journal", "volume" : "92" }, "uris" : [ "http://www.mendeley.com/documents/?uuid=f92f93c0-ec5c-4f4a-8d79-f828171b91fb" ] }, { "id" : "ITEM-4", "itemData" : { "DOI" : "http://dx.doi.org/10.1016/j.forpol.2012.10.001", "ISSN" : "1389-9341", "abstract" : "Woodlands on the Veneto region plain have progressively disappeared since the 19th century. This has led to a decrease in environmental and landscape quality with fewer social benefits accruing from the rural land. The demand for environmental conservation and recreational areas has increased in recent years, especially in the urban context. In order to meet these needs the Venice City Council decided to establish an extensive woodland on the Venice hinterland. Due to the high costs of the project it was important to evaluate its benefits in monetary terms and whether a mixed landscape might produce a higher benefits flow than a dense woodland. The objectives of our study are to estimate the willingness to pay (WTP) for different surface allocations of the future Wood of Mestre and to better understand the influence on WTP of the delay in the benefits due to the time needed for tree growth. Our first finding was that people prefer a mixed solution in terms of surface allocation: the wood\u2013meadow mix (75% woodland, 25% meadow) is at the top of the sample preferences. Second, the WTP of the preferred afforestation programme is \u20ac51 year/family. The social benefits derived on a 10-year basis considering the presence of animals and lakes in the preferred scenario are \u20ac62,755/ha. The research highlighted how WTP has an inverse correlation with age. Nonetheless the WTP of older people is not negligible and this appears to support the hypothesis that the woodland will also have a bequest value. The WTP also tends to decline with the distance of the district where the interviewees live. Finally, CE proves to be a consistent and robust methodology for forest benefit evaluation that can provide both land management and quantitative information to policymakers.", "author" : [ { "dropping-particle" : "", "family" : "Vecchiato", "given" : "D", "non-dropping-particle" : "", "parse-names" : false, "suffix" : "" }, { "dropping-particle" : "", "family" : "Tempesta", "given" : "T", "non-dropping-particle" : "", "parse-names" : false, "suffix" : "" } ], "container-title" : "Forest Policy and Economics", "id" : "ITEM-4", "issue" : "0", "issued" : { "date-parts" : [ [ "2013", "1" ] ] }, "page" : "111-120", "title" : "Valuing the benefits of an afforestation project in a peri-urban area with choice experiments", "type" : "article-journal", "volume" : "26" }, "uris" : [ "http://www.mendeley.com/documents/?uuid=7e00ad75-94f5-4b2b-82e1-352e97a8eb21" ] } ], "mendeley" : { "formattedCitation" : "(de Ayala et al., 2015; Grammatikopoulou et al., 2012; Newell and Swallow, 2013; Vecchiato and Tempesta, 2013)", "manualFormatting" : "(e.g., de Ayala et al., 2015; Grammatikopoulou et al., 2012; Newell and Swallow, 2013; Vecchiato and Tempesta, 2013)", "plainTextFormattedCitation" : "(de Ayala et al., 2015; Grammatikopoulou et al., 2012; Newell and Swallow, 2013; Vecchiato and Tempesta, 2013)", "previouslyFormattedCitation" : "(de Ayala et al., 2015; Grammatikopoulou et al., 2012; Newell and Swallow, 2013; Vecchiato and Tempesta,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(e.g., de Ayala et al., 2015; Grammatikopoulou et al., 2012; Newell and Swallow, 2013; Vecchiato and Tempesta, 2013)</w:t>
      </w:r>
      <w:r w:rsidRPr="00857048">
        <w:rPr>
          <w:rFonts w:cs="Arial"/>
          <w:sz w:val="20"/>
        </w:rPr>
        <w:fldChar w:fldCharType="end"/>
      </w:r>
      <w:r w:rsidRPr="00857048">
        <w:rPr>
          <w:rFonts w:cs="Arial"/>
          <w:sz w:val="20"/>
        </w:rPr>
        <w:t xml:space="preserve">. In our study, we tried to better comprehend respondents’ preferences for rural landscape options by complementing the choice experiment with an assessment of the importance people assign to the </w:t>
      </w:r>
      <w:r>
        <w:rPr>
          <w:rFonts w:cs="Arial"/>
          <w:sz w:val="20"/>
        </w:rPr>
        <w:t>ES</w:t>
      </w:r>
      <w:r w:rsidRPr="00857048">
        <w:rPr>
          <w:rFonts w:cs="Arial"/>
          <w:sz w:val="20"/>
        </w:rPr>
        <w:t xml:space="preserve">s that can be provided by the rural countryside. We considered respondents’ values for </w:t>
      </w:r>
      <w:r>
        <w:rPr>
          <w:rFonts w:cs="Arial"/>
          <w:sz w:val="20"/>
        </w:rPr>
        <w:t>ES</w:t>
      </w:r>
      <w:r w:rsidRPr="00857048">
        <w:rPr>
          <w:rFonts w:cs="Arial"/>
          <w:sz w:val="20"/>
        </w:rPr>
        <w:t xml:space="preserve">s, the </w:t>
      </w:r>
      <w:r>
        <w:rPr>
          <w:rFonts w:cs="Arial"/>
          <w:sz w:val="20"/>
        </w:rPr>
        <w:t>ES</w:t>
      </w:r>
      <w:r w:rsidRPr="00857048">
        <w:rPr>
          <w:rFonts w:cs="Arial"/>
          <w:sz w:val="20"/>
        </w:rPr>
        <w:t xml:space="preserve">s respondents attributed to environmental compensation measures, and the attitudes of respondents towards additional housing in East Lothian.  </w:t>
      </w:r>
    </w:p>
    <w:p w:rsidR="003F789A" w:rsidRPr="00BD5483" w:rsidRDefault="003F789A" w:rsidP="00BD5483">
      <w:pPr>
        <w:pStyle w:val="ListParagraph"/>
        <w:ind w:left="0"/>
        <w:jc w:val="both"/>
        <w:rPr>
          <w:rFonts w:ascii="Arial" w:hAnsi="Arial" w:cs="Arial"/>
          <w:b/>
          <w:sz w:val="20"/>
          <w:szCs w:val="20"/>
        </w:rPr>
      </w:pPr>
      <w:r w:rsidRPr="00BD5483">
        <w:rPr>
          <w:rFonts w:ascii="Arial" w:hAnsi="Arial" w:cs="Arial"/>
          <w:b/>
          <w:sz w:val="20"/>
          <w:szCs w:val="20"/>
        </w:rPr>
        <w:t xml:space="preserve">Questionnaire design </w:t>
      </w:r>
    </w:p>
    <w:p w:rsidR="003F789A" w:rsidRPr="00857048" w:rsidRDefault="003F789A" w:rsidP="00623376">
      <w:pPr>
        <w:spacing w:after="100" w:afterAutospacing="1" w:line="360" w:lineRule="auto"/>
        <w:rPr>
          <w:rFonts w:cs="Arial"/>
          <w:sz w:val="20"/>
        </w:rPr>
      </w:pPr>
      <w:r w:rsidRPr="00857048">
        <w:rPr>
          <w:rFonts w:cs="Arial"/>
          <w:sz w:val="20"/>
        </w:rPr>
        <w:t>The questionnaire consisted of five parts. In the first part we asked respondents about their current use of, and familiarity with, the East Lothian landscape. This part of the questionnaire included questions regarding recreational activities and residency in East Lothian, including</w:t>
      </w:r>
      <w:r>
        <w:rPr>
          <w:rFonts w:cs="Arial"/>
          <w:sz w:val="20"/>
        </w:rPr>
        <w:t xml:space="preserve"> </w:t>
      </w:r>
      <w:r w:rsidRPr="00857048">
        <w:rPr>
          <w:rFonts w:cs="Arial"/>
          <w:sz w:val="20"/>
        </w:rPr>
        <w:t xml:space="preserve">whether respondents grew up in East Lothian. </w:t>
      </w:r>
    </w:p>
    <w:p w:rsidR="003F789A" w:rsidRPr="00857048" w:rsidRDefault="003F789A" w:rsidP="00623376">
      <w:pPr>
        <w:spacing w:after="100" w:afterAutospacing="1" w:line="360" w:lineRule="auto"/>
        <w:rPr>
          <w:rFonts w:cs="Arial"/>
          <w:sz w:val="20"/>
        </w:rPr>
      </w:pPr>
      <w:r w:rsidRPr="00857048">
        <w:rPr>
          <w:rFonts w:cs="Arial"/>
          <w:sz w:val="20"/>
        </w:rPr>
        <w:lastRenderedPageBreak/>
        <w:t xml:space="preserve">In the second part of the questionnaire we asked respondents to evaluate a set of </w:t>
      </w:r>
      <w:r>
        <w:rPr>
          <w:rFonts w:cs="Arial"/>
          <w:sz w:val="20"/>
        </w:rPr>
        <w:t>ES</w:t>
      </w:r>
      <w:r w:rsidRPr="00857048">
        <w:rPr>
          <w:rFonts w:cs="Arial"/>
          <w:sz w:val="20"/>
        </w:rPr>
        <w:t xml:space="preserve">s, so that we could assess how their choice for environmental compensation could be explained by perceptions of the landscape. We chose to include nine </w:t>
      </w:r>
      <w:r>
        <w:rPr>
          <w:rFonts w:cs="Arial"/>
          <w:sz w:val="20"/>
        </w:rPr>
        <w:t>ES</w:t>
      </w:r>
      <w:r w:rsidRPr="00857048">
        <w:rPr>
          <w:rFonts w:cs="Arial"/>
          <w:sz w:val="20"/>
        </w:rPr>
        <w:t>s in this study: Air quality, climate change mitigation (by carbon sequestration), support of agricultural production, the provision of timber, tourism, recreation, the traditional character of the landscape, aesthetic quality, and biodiversity</w:t>
      </w:r>
      <w:r w:rsidRPr="00857048">
        <w:rPr>
          <w:rStyle w:val="FootnoteReference"/>
          <w:rFonts w:cs="Arial"/>
          <w:sz w:val="20"/>
        </w:rPr>
        <w:footnoteReference w:id="1"/>
      </w:r>
      <w:r w:rsidRPr="00857048">
        <w:rPr>
          <w:rFonts w:cs="Arial"/>
          <w:sz w:val="20"/>
        </w:rPr>
        <w:t xml:space="preserve">. We based the selection of these </w:t>
      </w:r>
      <w:r>
        <w:rPr>
          <w:rFonts w:cs="Arial"/>
          <w:sz w:val="20"/>
        </w:rPr>
        <w:t>ES</w:t>
      </w:r>
      <w:r w:rsidRPr="00857048">
        <w:rPr>
          <w:rFonts w:cs="Arial"/>
          <w:sz w:val="20"/>
        </w:rPr>
        <w:t xml:space="preserve">s on scientific literature and policy reports about </w:t>
      </w:r>
      <w:r>
        <w:rPr>
          <w:rFonts w:cs="Arial"/>
          <w:sz w:val="20"/>
        </w:rPr>
        <w:t>ES</w:t>
      </w:r>
      <w:r w:rsidRPr="00857048">
        <w:rPr>
          <w:rFonts w:cs="Arial"/>
          <w:sz w:val="20"/>
        </w:rPr>
        <w:t xml:space="preserve">s and important woodland functions in rural and </w:t>
      </w:r>
      <w:proofErr w:type="spellStart"/>
      <w:r w:rsidRPr="00857048">
        <w:rPr>
          <w:rFonts w:cs="Arial"/>
          <w:sz w:val="20"/>
        </w:rPr>
        <w:t>peri</w:t>
      </w:r>
      <w:proofErr w:type="spellEnd"/>
      <w:r w:rsidRPr="00857048">
        <w:rPr>
          <w:rFonts w:cs="Arial"/>
          <w:sz w:val="20"/>
        </w:rPr>
        <w:t xml:space="preserve">-urban landscapes in the UK </w:t>
      </w:r>
      <w:r w:rsidRPr="00857048">
        <w:rPr>
          <w:rFonts w:cs="Arial"/>
          <w:sz w:val="20"/>
        </w:rPr>
        <w:fldChar w:fldCharType="begin" w:fldLock="1"/>
      </w:r>
      <w:r w:rsidRPr="00857048">
        <w:rPr>
          <w:rFonts w:cs="Arial"/>
          <w:sz w:val="20"/>
        </w:rPr>
        <w:instrText>ADDIN CSL_CITATION { "citationItems" : [ { "id" : "ITEM-1", "itemData" : { "author" : [ { "dropping-particle" : "", "family" : "Swanwick", "given" : "Carys", "non-dropping-particle" : "", "parse-names" : false, "suffix" : "" }, { "dropping-particle" : "", "family" : "Hanley", "given" : "Nick", "non-dropping-particle" : "", "parse-names" : false, "suffix" : "" }, { "dropping-particle" : "", "family" : "Termansen", "given" : "Mette", "non-dropping-particle" : "", "parse-names" : false, "suffix" : "" } ], "id" : "ITEM-1", "issued" : { "date-parts" : [ [ "2007" ] ] }, "title" : "Scoping Study on Agricultural Landscape Valuation", "type" : "report" }, "uris" : [ "http://www.mendeley.com/documents/?uuid=26ae3ff0-5514-4747-9d61-ab7bdf691910" ] }, { "id" : "ITEM-2", "itemData" : { "DOI" : "10.1016/j.landurbplan.2008.03.007", "ISSN" : "01692046", "abstract" : "This paper considers the decision-making aspects of a closer integration of woodlands with other land uses in rural landscapes in Scotland regarding their socio-economic components and in view of positive implications, which woodlands have for the environment. The research follows a semi-qualitative route and applies a quantitative method of Q-analysis to identify public attitudes towards landscapes by integrating ecological, socio-economic and aesthetic criteria. Some innovative perspectives on the areas of consensus and conflict between people, concerning the future development of rural areas are put forward. The research categorizes landscape preferences and preferences for woodlands, and shows that these preferences are complex. It arrives at a number of conclusions about the role of woodlands in landscape changes, adds to practical suggestions on policy and management decisions for transforming landscapes towards sustainability and suggests that woodland has an important role to play in the integration of aesthetic, ecological and socio-economic components in landscape management in Scotland.", "author" : [ { "dropping-particle" : "", "family" : "Nijnik", "given" : "Maria", "non-dropping-particle" : "", "parse-names" : false, "suffix" : "" }, { "dropping-particle" : "", "family" : "Mather", "given" : "Alexander", "non-dropping-particle" : "", "parse-names" : false, "suffix" : "" } ], "container-title" : "Landscape and Urban Planning", "id" : "ITEM-2", "issue" : "3-4", "issued" : { "date-parts" : [ [ "2008", "6" ] ] }, "note" : "From Duplicate 2 ( Analyzing public preferences concerning woodland development in rural landscapes in Scotland - Nijnik, Maria; Mather, Alexander )\n", "page" : "267-275", "title" : "Analyzing public preferences concerning woodland development in rural landscapes in Scotland", "type" : "article-journal", "volume" : "86" }, "uris" : [ "http://www.mendeley.com/documents/?uuid=8a26c223-7334-4b94-ab44-a67ea26d3820" ] }, { "id" : "ITEM-3", "itemData" : { "author" : [ { "dropping-particle" : "", "family" : "Haines-Young", "given" : "R", "non-dropping-particle" : "", "parse-names" : false, "suffix" : "" }, { "dropping-particle" : "", "family" : "Potschin", "given" : "M", "non-dropping-particle" : "", "parse-names" : false, "suffix" : "" } ], "id" : "ITEM-3", "issued" : { "date-parts" : [ [ "2008" ] ] }, "number-of-pages" : "89", "title" : "England's Terrestrial Ecosystem Services and the Rationale for an Ecosystem Approach", "type" : "report" }, "uris" : [ "http://www.mendeley.com/documents/?uuid=7fe518ae-63a0-40ed-bd0b-de2846610449" ] } ], "mendeley" : { "formattedCitation" : "(Haines-Young and Potschin, 2008; Nijnik and Mather, 2008; Swanwick et al., 2007)", "plainTextFormattedCitation" : "(Haines-Young and Potschin, 2008; Nijnik and Mather, 2008; Swanwick et al., 2007)", "previouslyFormattedCitation" : "(Haines-Young and Potschin, 2008; Nijnik and Mather, 2008; Swanwick et al., 2007)" }, "properties" : { "noteIndex" : 0 }, "schema" : "https://github.com/citation-style-language/schema/raw/master/csl-citation.json" }</w:instrText>
      </w:r>
      <w:r w:rsidRPr="00857048">
        <w:rPr>
          <w:rFonts w:cs="Arial"/>
          <w:sz w:val="20"/>
        </w:rPr>
        <w:fldChar w:fldCharType="separate"/>
      </w:r>
      <w:r w:rsidRPr="00857048">
        <w:rPr>
          <w:rFonts w:cs="Arial"/>
          <w:noProof/>
          <w:sz w:val="20"/>
        </w:rPr>
        <w:t>(Haines-Young and Potschin, 2008; Nijnik and Mather, 2008; Swanwick et al., 2007)</w:t>
      </w:r>
      <w:r w:rsidRPr="00857048">
        <w:rPr>
          <w:rFonts w:cs="Arial"/>
          <w:sz w:val="20"/>
        </w:rPr>
        <w:fldChar w:fldCharType="end"/>
      </w:r>
      <w:r w:rsidRPr="00857048">
        <w:rPr>
          <w:rFonts w:cs="Arial"/>
          <w:sz w:val="20"/>
        </w:rPr>
        <w:t xml:space="preserve">. As the </w:t>
      </w:r>
      <w:r>
        <w:rPr>
          <w:rFonts w:cs="Arial"/>
          <w:sz w:val="20"/>
        </w:rPr>
        <w:t>ES</w:t>
      </w:r>
      <w:r w:rsidRPr="00857048">
        <w:rPr>
          <w:rFonts w:cs="Arial"/>
          <w:sz w:val="20"/>
        </w:rPr>
        <w:t xml:space="preserve">s concept tends to be rather abstract for lay people, we made pictograms for the nine </w:t>
      </w:r>
      <w:r>
        <w:rPr>
          <w:rFonts w:cs="Arial"/>
          <w:sz w:val="20"/>
        </w:rPr>
        <w:t>ES</w:t>
      </w:r>
      <w:r w:rsidRPr="00857048">
        <w:rPr>
          <w:rFonts w:cs="Arial"/>
          <w:sz w:val="20"/>
        </w:rPr>
        <w:t xml:space="preserve">s, explaining these as the benefits that are provided by the East Lothian countryside. We asked people to point out those three services which they found most important for their own personal well-being. This included which </w:t>
      </w:r>
      <w:r>
        <w:rPr>
          <w:rFonts w:cs="Arial"/>
          <w:sz w:val="20"/>
        </w:rPr>
        <w:t>ES</w:t>
      </w:r>
      <w:r w:rsidRPr="00857048">
        <w:rPr>
          <w:rFonts w:cs="Arial"/>
          <w:sz w:val="20"/>
        </w:rPr>
        <w:t xml:space="preserve"> they associated most with each of the proposed environmental compensation measures: shelterbelts, softwood forest and broadleaved forest (the choice of which we explain in section 3.3.1.).  </w:t>
      </w:r>
    </w:p>
    <w:p w:rsidR="003F789A" w:rsidRPr="00857048" w:rsidRDefault="003F789A" w:rsidP="00623376">
      <w:pPr>
        <w:spacing w:after="100" w:afterAutospacing="1" w:line="360" w:lineRule="auto"/>
        <w:rPr>
          <w:rFonts w:cs="Arial"/>
          <w:sz w:val="20"/>
        </w:rPr>
      </w:pPr>
      <w:r w:rsidRPr="00857048">
        <w:rPr>
          <w:rFonts w:cs="Arial"/>
          <w:sz w:val="20"/>
        </w:rPr>
        <w:t xml:space="preserve">A key assumption in our study was that additional housing was perceived as a threat to the landscape by local residents. To test the validity of this assumption, in the third part of the questionnaire, we tested the respondents’ attitudes towards additional residential development in East Lothian. We included four statements which respondents had to evaluate on a 5-point Likert scale. Additionally we asked respondents which </w:t>
      </w:r>
      <w:r>
        <w:rPr>
          <w:rFonts w:cs="Arial"/>
          <w:sz w:val="20"/>
        </w:rPr>
        <w:t>ES</w:t>
      </w:r>
      <w:r w:rsidRPr="00857048">
        <w:rPr>
          <w:rFonts w:cs="Arial"/>
          <w:sz w:val="20"/>
        </w:rPr>
        <w:t xml:space="preserve">, if any, they thought would be most impacted by residential development. </w:t>
      </w:r>
    </w:p>
    <w:p w:rsidR="003F789A" w:rsidRPr="00857048" w:rsidRDefault="003F789A" w:rsidP="00623376">
      <w:pPr>
        <w:spacing w:after="100" w:afterAutospacing="1" w:line="360" w:lineRule="auto"/>
        <w:rPr>
          <w:rFonts w:cs="Arial"/>
          <w:sz w:val="20"/>
        </w:rPr>
      </w:pPr>
      <w:r w:rsidRPr="00857048">
        <w:rPr>
          <w:rFonts w:cs="Arial"/>
          <w:sz w:val="20"/>
        </w:rPr>
        <w:t xml:space="preserve">After the general questions about people’s familiarity, use and perception of the East Lothian landscape, we presented the choice experiment (of which the specifics will be explained in section 3.3.). We showed respondents photos of the different compensation measures and asked them whether they thought the addition of these landscape elements would improve the East Lothian landscape. We then asked them to choose between choice sets in which restoration of woodland types could act as compensation for additional residential development.  After the choice experiment we asked respondents several control questions to see to what attribute they had paid most attention to and whether they thought that the proposed woodland restoration would be adequate and/or necessary to compensate for residential development in East Lothian. </w:t>
      </w:r>
    </w:p>
    <w:p w:rsidR="003F789A" w:rsidRPr="00BD5483" w:rsidRDefault="003F789A" w:rsidP="00BD5483">
      <w:pPr>
        <w:pStyle w:val="ListParagraph"/>
        <w:ind w:left="0"/>
        <w:jc w:val="both"/>
        <w:rPr>
          <w:rFonts w:ascii="Arial" w:hAnsi="Arial" w:cs="Arial"/>
          <w:b/>
          <w:sz w:val="20"/>
          <w:szCs w:val="20"/>
        </w:rPr>
      </w:pPr>
      <w:r w:rsidRPr="00BD5483">
        <w:rPr>
          <w:rFonts w:ascii="Arial" w:hAnsi="Arial" w:cs="Arial"/>
          <w:b/>
          <w:sz w:val="20"/>
          <w:szCs w:val="20"/>
        </w:rPr>
        <w:t>Data collection</w:t>
      </w:r>
    </w:p>
    <w:p w:rsidR="003F789A" w:rsidRPr="00857048" w:rsidRDefault="003F789A" w:rsidP="00623376">
      <w:pPr>
        <w:spacing w:after="100" w:afterAutospacing="1" w:line="360" w:lineRule="auto"/>
        <w:rPr>
          <w:rFonts w:cs="Arial"/>
          <w:sz w:val="20"/>
        </w:rPr>
      </w:pPr>
      <w:r w:rsidRPr="00857048">
        <w:rPr>
          <w:rFonts w:cs="Arial"/>
          <w:sz w:val="20"/>
        </w:rPr>
        <w:t xml:space="preserve">We conducted the survey using face to face interviews with local residents in October 2014, after having done a pilot study in July 2014. In total, 258 respondents were interviewed. For data analysis we excluded all respondents who, after being asked to what attributes in the choice experiment they paid most attention, had explicitly stated that they had ignored the attributes in the choice experiment </w:t>
      </w:r>
      <w:r w:rsidRPr="00857048">
        <w:rPr>
          <w:rFonts w:cs="Arial"/>
          <w:sz w:val="20"/>
        </w:rPr>
        <w:lastRenderedPageBreak/>
        <w:t xml:space="preserve">but had rather based their decision on the overall impression of the photo. This reduced our sample to 240 respondents for further analysis, resulting in 1920 observations for the choice model estimation.  </w:t>
      </w:r>
    </w:p>
    <w:p w:rsidR="003F789A" w:rsidRPr="00BD5483" w:rsidRDefault="003F789A" w:rsidP="00BD5483">
      <w:pPr>
        <w:pStyle w:val="ListParagraph"/>
        <w:ind w:left="0"/>
        <w:jc w:val="both"/>
        <w:rPr>
          <w:rFonts w:ascii="Arial" w:hAnsi="Arial" w:cs="Arial"/>
          <w:b/>
          <w:sz w:val="20"/>
          <w:szCs w:val="20"/>
        </w:rPr>
      </w:pPr>
      <w:r w:rsidRPr="00BD5483">
        <w:rPr>
          <w:rFonts w:ascii="Arial" w:hAnsi="Arial" w:cs="Arial"/>
          <w:b/>
          <w:sz w:val="20"/>
          <w:szCs w:val="20"/>
        </w:rPr>
        <w:t>The choice experiment</w:t>
      </w:r>
    </w:p>
    <w:p w:rsidR="003F789A" w:rsidRPr="00857048" w:rsidRDefault="003F789A" w:rsidP="00623376">
      <w:pPr>
        <w:spacing w:after="100" w:afterAutospacing="1" w:line="360" w:lineRule="auto"/>
        <w:rPr>
          <w:rFonts w:cs="Arial"/>
          <w:sz w:val="20"/>
        </w:rPr>
      </w:pPr>
      <w:r w:rsidRPr="00857048">
        <w:rPr>
          <w:rFonts w:cs="Arial"/>
          <w:sz w:val="20"/>
        </w:rPr>
        <w:t>In the choice experiment the agricultural landscape was the good and differed in each alternative according to a set of landscape attributes, i.e. the environmental compensation measures, and a housing attribute, representing different levels of potential additional housing in East Lothian. Respondents were consequently asked to choose, on the basis of these attributes, the alternative they preferred most.</w:t>
      </w:r>
    </w:p>
    <w:p w:rsidR="003F789A" w:rsidRPr="00BD5483" w:rsidRDefault="003F789A" w:rsidP="00BD5483">
      <w:pPr>
        <w:pStyle w:val="ListParagraph"/>
        <w:ind w:left="0"/>
        <w:jc w:val="both"/>
        <w:rPr>
          <w:rFonts w:ascii="Arial" w:hAnsi="Arial" w:cs="Arial"/>
          <w:b/>
          <w:i/>
          <w:sz w:val="20"/>
          <w:szCs w:val="20"/>
        </w:rPr>
      </w:pPr>
      <w:r w:rsidRPr="00BD5483">
        <w:rPr>
          <w:rFonts w:ascii="Arial" w:hAnsi="Arial" w:cs="Arial"/>
          <w:b/>
          <w:i/>
          <w:sz w:val="20"/>
          <w:szCs w:val="20"/>
        </w:rPr>
        <w:t>Identification of landscape attributes</w:t>
      </w:r>
    </w:p>
    <w:p w:rsidR="003F789A" w:rsidRPr="00857048" w:rsidRDefault="003F789A" w:rsidP="00623376">
      <w:pPr>
        <w:spacing w:after="100" w:afterAutospacing="1" w:line="360" w:lineRule="auto"/>
        <w:rPr>
          <w:rFonts w:cs="Arial"/>
          <w:sz w:val="20"/>
        </w:rPr>
      </w:pPr>
      <w:r w:rsidRPr="00857048">
        <w:rPr>
          <w:rFonts w:cs="Arial"/>
          <w:sz w:val="20"/>
        </w:rPr>
        <w:t>To inform the choice of landscape attributes in the choice experiment, two focus group sessions and a pilot study (n=20) were held in July 2014. One focus group meeting included four local council</w:t>
      </w:r>
      <w:r>
        <w:rPr>
          <w:rFonts w:cs="Arial"/>
          <w:sz w:val="20"/>
        </w:rPr>
        <w:t>l</w:t>
      </w:r>
      <w:r w:rsidRPr="00857048">
        <w:rPr>
          <w:rFonts w:cs="Arial"/>
          <w:sz w:val="20"/>
        </w:rPr>
        <w:t>ors, from the spatial planning department, cultural heritage department and wildlife department. The other focus group meeting included one local council</w:t>
      </w:r>
      <w:r>
        <w:rPr>
          <w:rFonts w:cs="Arial"/>
          <w:sz w:val="20"/>
        </w:rPr>
        <w:t>l</w:t>
      </w:r>
      <w:r w:rsidRPr="00857048">
        <w:rPr>
          <w:rFonts w:cs="Arial"/>
          <w:sz w:val="20"/>
        </w:rPr>
        <w:t>or and three advisors for the Lothians Fife and Green Network Partnership. Four specific woodland types were considered: softwood forests, native forests, mixed woodland and urban woodlands. Softwood forests are commonly associated with commercial timber plantations, but recently more effort has been put in restructuring softwood forests to improve their contribution to recreational opportunities, biodiversity and landscape quality. Mixed woodlands usually consist of a mix of native species and contribute much to the landscape character of the region’s rural areas, mostly in the form of shelterbelts or patches of forest around the edges of agricultural fields. Native forests are mostly found in the riparian corridors of the Lothians, which have remained inaccessible to intensive agriculture and development pressures. We chose to focus on the creation of new softwood forests and mixed woodlands as compensation measures relevant for our study context. We split up mixed woodlands into shelterbelts and (patches of) broadleaved forest. Mixed woodlands may consist of a mix of both broadleaved and coniferous trees, but are mostly dominated by broadleaved species. To put emphasis on the presence of broadleaved species we therefore termed this landscape attribute ‘broadleaved forest’.</w:t>
      </w:r>
    </w:p>
    <w:p w:rsidR="003F789A" w:rsidRPr="006D566F" w:rsidRDefault="003F789A" w:rsidP="00BD5483">
      <w:pPr>
        <w:pStyle w:val="ListParagraph"/>
        <w:keepNext/>
        <w:ind w:left="0"/>
        <w:jc w:val="both"/>
        <w:rPr>
          <w:rFonts w:ascii="Arial" w:hAnsi="Arial" w:cs="Arial"/>
          <w:b/>
          <w:i/>
          <w:sz w:val="20"/>
          <w:szCs w:val="20"/>
        </w:rPr>
      </w:pPr>
      <w:r w:rsidRPr="006D566F">
        <w:rPr>
          <w:rFonts w:ascii="Arial" w:hAnsi="Arial" w:cs="Arial"/>
          <w:b/>
          <w:i/>
          <w:sz w:val="20"/>
          <w:szCs w:val="20"/>
        </w:rPr>
        <w:t>The housing attribute</w:t>
      </w:r>
    </w:p>
    <w:p w:rsidR="003F789A" w:rsidRPr="00857048" w:rsidRDefault="003F789A" w:rsidP="008E09A9">
      <w:pPr>
        <w:keepNext/>
        <w:spacing w:after="100" w:afterAutospacing="1" w:line="360" w:lineRule="auto"/>
        <w:rPr>
          <w:rFonts w:cs="Arial"/>
          <w:sz w:val="20"/>
        </w:rPr>
      </w:pPr>
      <w:r w:rsidRPr="00857048">
        <w:rPr>
          <w:rFonts w:cs="Arial"/>
          <w:sz w:val="20"/>
        </w:rPr>
        <w:t xml:space="preserve">Commonly, choice experiments include a price attribute, in the form of some type of payment  or compensation , that is used to estimate the change in welfare related to changing attribute levels. The coefficient of the price attribute can be interpreted as a marginal utility of income and can consequently be used to calculate the willingness to pay (WTP) for a certain attribute. The proper use and framing of a payment vehicle in environmental research, however, is complicated due to the fact that people are not used to paying for most environmental goods and services </w:t>
      </w:r>
      <w:r w:rsidRPr="00857048">
        <w:rPr>
          <w:rFonts w:cs="Arial"/>
          <w:sz w:val="20"/>
        </w:rPr>
        <w:fldChar w:fldCharType="begin" w:fldLock="1"/>
      </w:r>
      <w:r w:rsidRPr="00857048">
        <w:rPr>
          <w:rFonts w:cs="Arial"/>
          <w:sz w:val="20"/>
        </w:rPr>
        <w:instrText>ADDIN CSL_CITATION { "citationItems" : [ { "id" : "ITEM-1", "itemData" : { "DOI" : "10.3197/096327100129342182", "ISSN" : "09632719", "author" : [ { "dropping-particle" : "", "family" : "Burney", "given" : "J.", "non-dropping-particle" : "", "parse-names" : false, "suffix" : "" } ], "container-title" : "Environmental Values", "id" : "ITEM-1", "issue" : "4", "issued" : { "date-parts" : [ [ "2000", "11", "1" ] ] }, "page" : "511-520", "publisher" : "White Horse Press", "title" : "Is Valuing Nature Contributing to Policy Development?", "type" : "article-journal", "volume" : "9" }, "uris" : [ "http://www.mendeley.com/documents/?uuid=c4e9fb15-e93a-4fb9-b1b3-f4f271f02c2c" ] } ], "mendeley" : { "formattedCitation" : "(Burney, 2000)", "plainTextFormattedCitation" : "(Burney, 2000)", "previouslyFormattedCitation" : "(Burney, 2000)" }, "properties" : { "noteIndex" : 0 }, "schema" : "https://github.com/citation-style-language/schema/raw/master/csl-citation.json" }</w:instrText>
      </w:r>
      <w:r w:rsidRPr="00857048">
        <w:rPr>
          <w:rFonts w:cs="Arial"/>
          <w:sz w:val="20"/>
        </w:rPr>
        <w:fldChar w:fldCharType="separate"/>
      </w:r>
      <w:r w:rsidRPr="00857048">
        <w:rPr>
          <w:rFonts w:cs="Arial"/>
          <w:noProof/>
          <w:sz w:val="20"/>
        </w:rPr>
        <w:t>(Burney, 2000)</w:t>
      </w:r>
      <w:r w:rsidRPr="00857048">
        <w:rPr>
          <w:rFonts w:cs="Arial"/>
          <w:sz w:val="20"/>
        </w:rPr>
        <w:fldChar w:fldCharType="end"/>
      </w:r>
      <w:r w:rsidRPr="00857048">
        <w:rPr>
          <w:rFonts w:cs="Arial"/>
          <w:sz w:val="20"/>
        </w:rPr>
        <w:t xml:space="preserve"> or may even refuse to pay for them </w:t>
      </w:r>
      <w:r w:rsidRPr="00857048">
        <w:rPr>
          <w:rFonts w:cs="Arial"/>
          <w:sz w:val="20"/>
        </w:rPr>
        <w:fldChar w:fldCharType="begin" w:fldLock="1"/>
      </w:r>
      <w:r w:rsidRPr="00857048">
        <w:rPr>
          <w:rFonts w:cs="Arial"/>
          <w:sz w:val="20"/>
        </w:rPr>
        <w:instrText>ADDIN CSL_CITATION { "citationItems" : [ { "id" : "ITEM-1", "itemData" : { "DOI" : "10.2307/3147109", "ISSN" : "00237639", "abstract" : "This study adopts a qualitative approach in order to investigate how people make sense of contingent valuation (CV) questions of a global environmental amenity. The objective is not only to capture people\u2019 s motivations and considerations of willingness to pay (WTP), but also to determine if they adequately comprehend an economic valuation of such public goods. The findings indicate that a large proportion of respondents do not interpret the valuation task, as intended. However, this lack of understanding is not always expressed, unless probed in relation to the elicitation question, and some people have the tendency to provide monetary estimates anyway, whatever meaning they attach to these. (JELH41)", "author" : [ { "dropping-particle" : "", "family" : "Svedsater", "given" : "Henrik", "non-dropping-particle" : "", "parse-names" : false, "suffix" : "" } ], "container-title" : "Land Economics", "id" : "ITEM-1", "issue" : "1", "issued" : { "date-parts" : [ [ "2003", "2", "1" ] ] }, "page" : "122", "title" : "Economic Valuation of the Environment: How Citizens Make Sense of Contingent Valuation Questions", "type" : "article-journal", "volume" : "79" }, "uris" : [ "http://www.mendeley.com/documents/?uuid=c32db3b4-e5bf-419f-9199-03867953b56f" ] }, { "id" : "ITEM-2", "itemData" : { "DOI" : "http://dx.doi.org/10.1016/j.envsci.2010.11.004", "ISSN" : "1462-9011", "abstract" : "Contingent valuation approach has been criticised as fundamentally flawed because it fails to address the impact of protest respondents on the economic valuation exercise. In this study, we present results from an analysis of the factors behind protest responses in willingness to pay exercises for biodiversity conservation (non-use values) and ecosystem services maintenance (use values). The influence of the payment vehicle for stakeholder groups was also explored considering different contributions for conservations purposes, which included donation, 0.7% of income, willingness to give up time, and no possible contribution. The study was conducted in areas involving the only two national parks in Andalusia: the Do\u00f1ana social-ecological system (SW Spain) and the Adra\u2013Nacimiento social-ecological systems (SE Spain). Protest responses have been shown to reveal a great deal of information that should be considered for designing conservation policies. We found that the possibility of receiving protest responses related to implementing a payment for maintaining ecosystem services was higher than for biodiversity conservation and may vary according to respondents\u2019 socio-demographic characteristics, pro-environmental attitudes, and stakeholder typology. Generally, more of the efforts of environmental education programs regarding conservation policies should be aimed at older people with lower education levels and men. Furthermore, future strategies for conservation should consider individuals\u2019 willingness to give up time for protection and restoration activities as a useful option.", "author" : [ { "dropping-particle" : "", "family" : "Garc\u00eda-Llorente", "given" : "Marina", "non-dropping-particle" : "", "parse-names" : false, "suffix" : "" }, { "dropping-particle" : "", "family" : "Mart\u00edn-L\u00f3pez", "given" : "Berta", "non-dropping-particle" : "", "parse-names" : false, "suffix" : "" }, { "dropping-particle" : "", "family" : "Montes", "given" : "Carlos", "non-dropping-particle" : "", "parse-names" : false, "suffix" : "" } ], "container-title" : "Environmental Science &amp; Policy", "id" : "ITEM-2", "issue" : "1", "issued" : { "date-parts" : [ [ "2011", "1" ] ] }, "note" : "        From Duplicate 2 (                           Exploring the motivations of protesters in contingent valuation: Insights for conservation policies                         - Garc\u00eda-Llorente, Marina; Mart\u00edn-L\u00f3pez, Berta; Montes, Carlos )\n                \nna zoekterm\n        \n      ", "page" : "76-88", "title" : "Exploring the motivations of protesters in contingent valuation: Insights for conservation policies", "type" : "article-journal", "volume" : "14" }, "uris" : [ "http://www.mendeley.com/documents/?uuid=9fb0e577-1d14-4b2d-8ec0-b7af404cf2fd" ] } ], "mendeley" : { "formattedCitation" : "(Garc\u00eda-Llorente et al., 2011; Svedsater, 2003)", "plainTextFormattedCitation" : "(Garc\u00eda-Llorente et al., 2011; Svedsater, 2003)", "previouslyFormattedCitation" : "(Garc\u00eda-Llorente et al., 2011; Svedsater, 2003)" }, "properties" : { "noteIndex" : 0 }, "schema" : "https://github.com/citation-style-language/schema/raw/master/csl-citation.json" }</w:instrText>
      </w:r>
      <w:r w:rsidRPr="00857048">
        <w:rPr>
          <w:rFonts w:cs="Arial"/>
          <w:sz w:val="20"/>
        </w:rPr>
        <w:fldChar w:fldCharType="separate"/>
      </w:r>
      <w:r w:rsidRPr="00857048">
        <w:rPr>
          <w:rFonts w:cs="Arial"/>
          <w:noProof/>
          <w:sz w:val="20"/>
        </w:rPr>
        <w:t>(García-Llorente et al., 2011; Svedsater, 2003)</w:t>
      </w:r>
      <w:r w:rsidRPr="00857048">
        <w:rPr>
          <w:rFonts w:cs="Arial"/>
          <w:sz w:val="20"/>
        </w:rPr>
        <w:fldChar w:fldCharType="end"/>
      </w:r>
      <w:r w:rsidRPr="00857048">
        <w:rPr>
          <w:rFonts w:cs="Arial"/>
          <w:sz w:val="20"/>
        </w:rPr>
        <w:t xml:space="preserve">.  In addition, the calculation of price estimates for environmental goods and services is not always necessary nor sufficient to advance our understanding of environmental preferences and choices </w:t>
      </w:r>
      <w:r w:rsidRPr="00857048">
        <w:rPr>
          <w:rFonts w:cs="Arial"/>
          <w:sz w:val="20"/>
        </w:rPr>
        <w:fldChar w:fldCharType="begin" w:fldLock="1"/>
      </w:r>
      <w:r w:rsidRPr="00857048">
        <w:rPr>
          <w:rFonts w:cs="Arial"/>
          <w:sz w:val="20"/>
        </w:rPr>
        <w:instrText>ADDIN CSL_CITATION { "citationItems" : [ { "id" : "ITEM-1", "itemData" : { "DOI" : "10.1111/j.1467-8489.2008.00432.x", "ISSN" : "1364985X", "author" : [ { "dropping-particle" : "", "family" : "Kerr", "given" : "Geoffrey N.", "non-dropping-particle" : "", "parse-names" : false, "suffix" : "" }, { "dropping-particle" : "", "family" : "Sharp", "given" : "Basil M.H.", "non-dropping-particle" : "", "parse-names" : false, "suffix" : "" } ], "container-title" : "Australian Journal of Agricultural and Resource Economics", "id" : "ITEM-1", "issue" : "4", "issued" : { "date-parts" : [ [ "2008", "12" ] ] }, "page" : "381-399", "title" : "Evaluating off-site environmental mitigation using choice modelling*", "type" : "article-journal", "volume" : "52" }, "uris" : [ "http://www.mendeley.com/documents/?uuid=e06adeee-84c4-441d-8e98-c5412644eb8f" ] }, { "id" : "ITEM-2", "itemData" : { "DOI" : "10.1111/j.1467-8489.2004.00258.x", "ISSN" : "1364-985X", "author" : [ { "dropping-particle" : "", "family" : "Adamowicz", "given" : "Wiktor L.", "non-dropping-particle" : "", "parse-names" : false, "suffix" : "" } ], "container-title" : "The Australian Journal of Agricultural and Resource Economics", "id" : "ITEM-2", "issue" : "3", "issued" : { "date-parts" : [ [ "2004", "9" ] ] }, "page" : "419-443", "title" : "What's it worth? An examination of historical trends and future directions in environmental valuation*", "type" : "article-journal", "volume" : "48" }, "uris" : [ "http://www.mendeley.com/documents/?uuid=6722163c-4895-42f5-8bea-03e6a524259d" ] }, { "id" : "ITEM-3", "itemData" : { "DOI" : "10.1006/jeem.1994.1008", "ISSN" : "00950696", "abstract" : "Valuing is usually regarded as a process of compressing information about attributes into a single metric. Armed with this reduced form of compact information, the consumer can consider a particular object, with a particular price attached (or implied), and make an \"informed\" decision. But the process of valuing is less straightforward than we ordinarily suppose. When environmental goods and services become the object of information compaction, it is possible that important information is lost. We comment on the choice problem germane to environmental goods and services and challenge the presumption that environmental choices made without explicit pricing are inferior to those in which hypothetical valuation studies are undertaken.", "author" : [ { "dropping-particle" : "", "family" : "Vatn", "given" : "Arild", "non-dropping-particle" : "", "parse-names" : false, "suffix" : "" }, { "dropping-particle" : "", "family" : "Bromley", "given" : "Daniel W.", "non-dropping-particle" : "", "parse-names" : false, "suffix" : "" } ], "container-title" : "Journal of Environmental Economics and Management", "id" : "ITEM-3", "issue" : "2", "issued" : { "date-parts" : [ [ "1994", "3" ] ] }, "page" : "129-148", "title" : "Choices without Prices without Apologies", "type" : "article-journal", "volume" : "26" }, "uris" : [ "http://www.mendeley.com/documents/?uuid=d1375cea-1212-4351-8717-53a99c27dbf5" ] } ], "mendeley" : { "formattedCitation" : "(Adamowicz, 2004; Kerr and Sharp, 2008; Vatn and Bromley, 1994)", "plainTextFormattedCitation" : "(Adamowicz, 2004; Kerr and Sharp, 2008; Vatn and Bromley, 1994)", "previouslyFormattedCitation" : "(Adamowicz, 2004; Kerr and Sharp, 2008; Vatn and Bromley, 1994)" }, "properties" : { "noteIndex" : 0 }, "schema" : "https://github.com/citation-style-language/schema/raw/master/csl-citation.json" }</w:instrText>
      </w:r>
      <w:r w:rsidRPr="00857048">
        <w:rPr>
          <w:rFonts w:cs="Arial"/>
          <w:sz w:val="20"/>
        </w:rPr>
        <w:fldChar w:fldCharType="separate"/>
      </w:r>
      <w:r w:rsidRPr="00857048">
        <w:rPr>
          <w:rFonts w:cs="Arial"/>
          <w:noProof/>
          <w:sz w:val="20"/>
        </w:rPr>
        <w:t xml:space="preserve">(Adamowicz, 2004; </w:t>
      </w:r>
      <w:r w:rsidRPr="00857048">
        <w:rPr>
          <w:rFonts w:cs="Arial"/>
          <w:noProof/>
          <w:sz w:val="20"/>
        </w:rPr>
        <w:lastRenderedPageBreak/>
        <w:t>Kerr and Sharp, 2008; Vatn and Bromley, 1994)</w:t>
      </w:r>
      <w:r w:rsidRPr="00857048">
        <w:rPr>
          <w:rFonts w:cs="Arial"/>
          <w:sz w:val="20"/>
        </w:rPr>
        <w:fldChar w:fldCharType="end"/>
      </w:r>
      <w:r w:rsidRPr="00857048">
        <w:rPr>
          <w:rFonts w:cs="Arial"/>
          <w:sz w:val="20"/>
        </w:rPr>
        <w:t xml:space="preserve">.  It is also possible to study the impact of environmental change by considering the marginal rates of substitution between (non-monetary) environmental choice attributes </w:t>
      </w:r>
      <w:r w:rsidRPr="00857048">
        <w:rPr>
          <w:rFonts w:cs="Arial"/>
          <w:sz w:val="20"/>
        </w:rPr>
        <w:fldChar w:fldCharType="begin" w:fldLock="1"/>
      </w:r>
      <w:r w:rsidRPr="00857048">
        <w:rPr>
          <w:rFonts w:cs="Arial"/>
          <w:sz w:val="20"/>
        </w:rPr>
        <w:instrText>ADDIN CSL_CITATION { "citationItems" : [ { "id" : "ITEM-1", "itemData" : { "DOI" : "10.1016/j.landusepol.2014.10.010", "ISSN" : "02648377", "abstract" : "As a statement of policy, the Western Australian Salinity Investment Framework focuses attention on the benefits and costs of outcomes from the abatement of dryland salinity. Policy implementation would result in funds being spent unevenly across the landscape according to the value of assets protected, as well as the costs and effectiveness of treatments. This study used a choice experiment to investigate the reaction of rural stakeholders to the economic principles embodied in the Salinity Investment Framework. The results indicate that what matters is the type of assets protected, the risk of failure and the level of community involvement in the decision-making process; not the distribution of benefits. The results imply that the success of the Salinity Investment Framework, or other prioritised systems of resource management, in terms of community acceptance, does not necessarily rest upon distributional issues, and that other factors play a more crucial role. Policy makers could take this as a signal for the wider acceptance of decision frameworks that promote targeted investment according to public benefit.", "author" : [ { "dropping-particle" : "", "family" : "Cleland", "given" : "Jonelle A.", "non-dropping-particle" : "", "parse-names" : false, "suffix" : "" }, { "dropping-particle" : "", "family" : "Rogers", "given" : "Abbie A.", "non-dropping-particle" : "", "parse-names" : false, "suffix" : "" }, { "dropping-particle" : "", "family" : "Burton", "given" : "Michael P.", "non-dropping-particle" : "", "parse-names" : false, "suffix" : "" } ], "container-title" : "Land Use Policy", "id" : "ITEM-1", "issued" : { "date-parts" : [ [ "2015", "1" ] ] }, "page" : "718-728", "title" : "Investigating stakeholder reactions to a bold salinity policy using a choice experiment", "type" : "article-journal", "volume" : "42" }, "uris" : [ "http://www.mendeley.com/documents/?uuid=6322c845-ff6f-43ab-bfdd-6637de4db894" ] }, { "id" : "ITEM-2", "itemData" : { "DOI" : "10.1016/j.eneco.2014.02.017", "ISSN" : "01409883", "abstract" : "When designing choice experiments for nonmarket valuation the role of the price attribute is of major importance. In the energy sector the uncertainty of future direction of changes in prices makes it difficult to include an adequate price vector in the design. We separately investigate the implication of using price vectors with increases and decreases in tariffs from current levels, on marginal value estimate from choice experiment data developed using prospect theory. In addition, we also analyse the effect of excluding the price vector on these marginal values. By and large, our results support the neoclassical theory as we find that the means of the conditional estimates of the marginal values of attributes are unaffected by the direction of the price change and from exclusion of the price attribute. However, the distributions show a larger spread of values when the choice experiment implies a tariff decrease, which may have policy implications.", "author" : [ { "dropping-particle" : "", "family" : "Aravena", "given" : "Claudia", "non-dropping-particle" : "", "parse-names" : false, "suffix" : "" }, { "dropping-particle" : "", "family" : "Martinsson", "given" : "Peter", "non-dropping-particle" : "", "parse-names" : false, "suffix" : "" }, { "dropping-particle" : "", "family" : "Scarpa", "given" : "Riccardo", "non-dropping-particle" : "", "parse-names" : false, "suffix" : "" } ], "container-title" : "Energy Economics", "id" : "ITEM-2", "issued" : { "date-parts" : [ [ "2014", "7" ] ] }, "page" : "483-491", "title" : "Does money talk? \u2014 The effect of a monetary attribute on the marginal values in a choice experiment", "type" : "article-journal", "volume" : "44" }, "uris" : [ "http://www.mendeley.com/documents/?uuid=2654522c-976b-42c6-8832-d990a6cd0991" ] } ], "mendeley" : { "formattedCitation" : "(Aravena et al., 2014; Cleland et al., 2015)", "manualFormatting" : "(e.g., Aravena et al., 2014; Cleland et al., 2015)", "plainTextFormattedCitation" : "(Aravena et al., 2014; Cleland et al., 2015)", "previouslyFormattedCitation" : "(Aravena et al., 2014; Cleland et al.,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(e.g., Aravena et al., 2014; Cleland et al., 2015)</w:t>
      </w:r>
      <w:r w:rsidRPr="00857048">
        <w:rPr>
          <w:rFonts w:cs="Arial"/>
          <w:sz w:val="20"/>
        </w:rPr>
        <w:fldChar w:fldCharType="end"/>
      </w:r>
      <w:r w:rsidRPr="00857048">
        <w:rPr>
          <w:rFonts w:cs="Arial"/>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 xml:space="preserve">Since it was not our intention to estimate the willingness to pay for landscape changes, but rather to assess how people make trade-offs between levels of additional housing and different woodland restoration types, we decided not to include a price attribute. For the policy context of our study it was more relevant to gain insight into the direction of preferences for compensation measures and the marginal rates of substitution between housing and environmental compensation. In addition we did not want to make the choice experiment overly complicated by introducing a varying price attribute on top of the variation in housing, which might have led to a high cognitive burden on the respondents </w:t>
      </w:r>
      <w:r w:rsidRPr="00857048">
        <w:rPr>
          <w:rFonts w:cs="Arial"/>
          <w:sz w:val="20"/>
        </w:rPr>
        <w:fldChar w:fldCharType="begin" w:fldLock="1"/>
      </w:r>
      <w:r w:rsidRPr="00857048">
        <w:rPr>
          <w:rFonts w:cs="Arial"/>
          <w:sz w:val="20"/>
        </w:rPr>
        <w:instrText>ADDIN CSL_CITATION { "citationItems" : [ { "id" : "ITEM-1", "itemData" : { "DOI" : "10.1016/j.eneco.2014.02.017", "ISSN" : "01409883", "abstract" : "When designing choice experiments for nonmarket valuation the role of the price attribute is of major importance. In the energy sector the uncertainty of future direction of changes in prices makes it difficult to include an adequate price vector in the design. We separately investigate the implication of using price vectors with increases and decreases in tariffs from current levels, on marginal value estimate from choice experiment data developed using prospect theory. In addition, we also analyse the effect of excluding the price vector on these marginal values. By and large, our results support the neoclassical theory as we find that the means of the conditional estimates of the marginal values of attributes are unaffected by the direction of the price change and from exclusion of the price attribute. However, the distributions show a larger spread of values when the choice experiment implies a tariff decrease, which may have policy implications.", "author" : [ { "dropping-particle" : "", "family" : "Aravena", "given" : "Claudia", "non-dropping-particle" : "", "parse-names" : false, "suffix" : "" }, { "dropping-particle" : "", "family" : "Martinsson", "given" : "Peter", "non-dropping-particle" : "", "parse-names" : false, "suffix" : "" }, { "dropping-particle" : "", "family" : "Scarpa", "given" : "Riccardo", "non-dropping-particle" : "", "parse-names" : false, "suffix" : "" } ], "container-title" : "Energy Economics", "id" : "ITEM-1", "issued" : { "date-parts" : [ [ "2014", "7" ] ] }, "page" : "483-491", "title" : "Does money talk? \u2014 The effect of a monetary attribute on the marginal values in a choice experiment", "type" : "article-journal", "volume" : "44" }, "uris" : [ "http://www.mendeley.com/documents/?uuid=2654522c-976b-42c6-8832-d990a6cd0991" ] } ], "mendeley" : { "formattedCitation" : "(Aravena et al., 2014)", "plainTextFormattedCitation" : "(Aravena et al., 2014)", "previouslyFormattedCitation" : "(Aravena et al., 2014)" }, "properties" : { "noteIndex" : 0 }, "schema" : "https://github.com/citation-style-language/schema/raw/master/csl-citation.json" }</w:instrText>
      </w:r>
      <w:r w:rsidRPr="00857048">
        <w:rPr>
          <w:rFonts w:cs="Arial"/>
          <w:sz w:val="20"/>
        </w:rPr>
        <w:fldChar w:fldCharType="separate"/>
      </w:r>
      <w:r w:rsidRPr="00857048">
        <w:rPr>
          <w:rFonts w:cs="Arial"/>
          <w:noProof/>
          <w:sz w:val="20"/>
        </w:rPr>
        <w:t>(Aravena et al., 2014)</w:t>
      </w:r>
      <w:r w:rsidRPr="00857048">
        <w:rPr>
          <w:rFonts w:cs="Arial"/>
          <w:sz w:val="20"/>
        </w:rPr>
        <w:fldChar w:fldCharType="end"/>
      </w:r>
      <w:r w:rsidRPr="00857048">
        <w:rPr>
          <w:rFonts w:cs="Arial"/>
          <w:sz w:val="20"/>
        </w:rPr>
        <w:t xml:space="preserve">. </w:t>
      </w:r>
    </w:p>
    <w:p w:rsidR="003F789A" w:rsidRPr="00857048" w:rsidRDefault="003F789A" w:rsidP="00623376">
      <w:pPr>
        <w:spacing w:after="100" w:afterAutospacing="1" w:line="360" w:lineRule="auto"/>
        <w:rPr>
          <w:rFonts w:cs="Arial"/>
          <w:sz w:val="20"/>
        </w:rPr>
      </w:pPr>
      <w:r w:rsidRPr="00857048">
        <w:rPr>
          <w:rFonts w:cs="Arial"/>
          <w:sz w:val="20"/>
        </w:rPr>
        <w:t>The housing attribute levels were set at 250, 500, 750 and 1000 houses. These levels were based on results from the pilot study, where people were asked what the maximum amount of housing was that they were willing to allow. We explained to respondents that the additional housing would take place directly surrounding existing settlements and that the development would be small-scale and in character of the settlement or the local area (as stated by the Edinburgh and Lothians Structure Plan 2015).</w:t>
      </w:r>
    </w:p>
    <w:p w:rsidR="003F789A" w:rsidRPr="00857048" w:rsidRDefault="003F789A" w:rsidP="00623376">
      <w:pPr>
        <w:spacing w:after="0" w:line="240" w:lineRule="auto"/>
        <w:rPr>
          <w:rFonts w:cs="Arial"/>
          <w:sz w:val="20"/>
        </w:rPr>
      </w:pPr>
      <w:r w:rsidRPr="00857048">
        <w:rPr>
          <w:rFonts w:cs="Arial"/>
          <w:sz w:val="20"/>
        </w:rPr>
        <w:t>Table 1. Choice attributes. Status quo attribute levels are given in bold.</w:t>
      </w:r>
    </w:p>
    <w:tbl>
      <w:tblPr>
        <w:tblpPr w:leftFromText="141" w:rightFromText="141" w:vertAnchor="text" w:horzAnchor="margin" w:tblpY="109"/>
        <w:tblW w:w="9436" w:type="dxa"/>
        <w:tblCellMar>
          <w:left w:w="70" w:type="dxa"/>
          <w:right w:w="70" w:type="dxa"/>
        </w:tblCellMar>
        <w:tblLook w:val="00A0" w:firstRow="1" w:lastRow="0" w:firstColumn="1" w:lastColumn="0" w:noHBand="0" w:noVBand="0"/>
      </w:tblPr>
      <w:tblGrid>
        <w:gridCol w:w="1493"/>
        <w:gridCol w:w="5836"/>
        <w:gridCol w:w="2107"/>
      </w:tblGrid>
      <w:tr w:rsidR="003F789A" w:rsidRPr="00857048" w:rsidTr="00857048">
        <w:trPr>
          <w:trHeight w:val="300"/>
        </w:trPr>
        <w:tc>
          <w:tcPr>
            <w:tcW w:w="1493" w:type="dxa"/>
            <w:tcBorders>
              <w:top w:val="single" w:sz="12" w:space="0" w:color="auto"/>
              <w:left w:val="nil"/>
              <w:bottom w:val="single" w:sz="12" w:space="0" w:color="auto"/>
              <w:right w:val="nil"/>
            </w:tcBorders>
            <w:noWrap/>
          </w:tcPr>
          <w:p w:rsidR="003F789A" w:rsidRPr="00623376" w:rsidRDefault="003F789A" w:rsidP="00857048">
            <w:pPr>
              <w:spacing w:after="100" w:afterAutospacing="1" w:line="360" w:lineRule="auto"/>
              <w:rPr>
                <w:rFonts w:cs="Arial"/>
                <w:b/>
                <w:color w:val="000000"/>
                <w:sz w:val="20"/>
                <w:lang w:eastAsia="nl-NL"/>
              </w:rPr>
            </w:pPr>
            <w:r w:rsidRPr="00623376">
              <w:rPr>
                <w:rFonts w:cs="Arial"/>
                <w:b/>
                <w:color w:val="000000"/>
                <w:sz w:val="20"/>
                <w:lang w:eastAsia="nl-NL"/>
              </w:rPr>
              <w:t>Attribute</w:t>
            </w:r>
          </w:p>
        </w:tc>
        <w:tc>
          <w:tcPr>
            <w:tcW w:w="5836" w:type="dxa"/>
            <w:tcBorders>
              <w:top w:val="single" w:sz="12" w:space="0" w:color="auto"/>
              <w:left w:val="nil"/>
              <w:bottom w:val="single" w:sz="12" w:space="0" w:color="auto"/>
              <w:right w:val="nil"/>
            </w:tcBorders>
            <w:noWrap/>
          </w:tcPr>
          <w:p w:rsidR="003F789A" w:rsidRPr="00623376" w:rsidRDefault="003F789A" w:rsidP="00857048">
            <w:pPr>
              <w:spacing w:after="100" w:afterAutospacing="1" w:line="360" w:lineRule="auto"/>
              <w:rPr>
                <w:rFonts w:cs="Arial"/>
                <w:b/>
                <w:color w:val="000000"/>
                <w:sz w:val="20"/>
                <w:lang w:eastAsia="nl-NL"/>
              </w:rPr>
            </w:pPr>
            <w:r w:rsidRPr="00623376">
              <w:rPr>
                <w:rFonts w:cs="Arial"/>
                <w:b/>
                <w:color w:val="000000"/>
                <w:sz w:val="20"/>
                <w:lang w:eastAsia="nl-NL"/>
              </w:rPr>
              <w:t>Description</w:t>
            </w:r>
          </w:p>
        </w:tc>
        <w:tc>
          <w:tcPr>
            <w:tcW w:w="2107" w:type="dxa"/>
            <w:tcBorders>
              <w:top w:val="single" w:sz="12" w:space="0" w:color="auto"/>
              <w:left w:val="nil"/>
              <w:bottom w:val="single" w:sz="12" w:space="0" w:color="auto"/>
              <w:right w:val="nil"/>
            </w:tcBorders>
            <w:noWrap/>
          </w:tcPr>
          <w:p w:rsidR="003F789A" w:rsidRPr="00623376" w:rsidRDefault="003F789A" w:rsidP="00857048">
            <w:pPr>
              <w:spacing w:after="100" w:afterAutospacing="1" w:line="360" w:lineRule="auto"/>
              <w:rPr>
                <w:rFonts w:cs="Arial"/>
                <w:b/>
                <w:color w:val="000000"/>
                <w:szCs w:val="22"/>
                <w:lang w:eastAsia="nl-NL"/>
              </w:rPr>
            </w:pPr>
            <w:r w:rsidRPr="00623376">
              <w:rPr>
                <w:rFonts w:cs="Arial"/>
                <w:b/>
                <w:color w:val="000000"/>
                <w:sz w:val="20"/>
                <w:lang w:eastAsia="nl-NL"/>
              </w:rPr>
              <w:t>Levels</w:t>
            </w:r>
          </w:p>
        </w:tc>
      </w:tr>
      <w:tr w:rsidR="003F789A" w:rsidRPr="00857048" w:rsidTr="00857048">
        <w:trPr>
          <w:trHeight w:val="300"/>
        </w:trPr>
        <w:tc>
          <w:tcPr>
            <w:tcW w:w="1493" w:type="dxa"/>
            <w:tcBorders>
              <w:top w:val="single" w:sz="12" w:space="0" w:color="auto"/>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Shelterbelts</w:t>
            </w:r>
          </w:p>
        </w:tc>
        <w:tc>
          <w:tcPr>
            <w:tcW w:w="5836" w:type="dxa"/>
            <w:tcBorders>
              <w:top w:val="single" w:sz="12" w:space="0" w:color="auto"/>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 xml:space="preserve">The addition of shelterbelts to the landscape </w:t>
            </w:r>
          </w:p>
        </w:tc>
        <w:tc>
          <w:tcPr>
            <w:tcW w:w="2107" w:type="dxa"/>
            <w:tcBorders>
              <w:top w:val="single" w:sz="12" w:space="0" w:color="auto"/>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None, Low, Medium, High</w:t>
            </w:r>
          </w:p>
        </w:tc>
      </w:tr>
      <w:tr w:rsidR="003F789A" w:rsidRPr="00857048" w:rsidTr="00857048">
        <w:trPr>
          <w:trHeight w:val="300"/>
        </w:trPr>
        <w:tc>
          <w:tcPr>
            <w:tcW w:w="1493" w:type="dxa"/>
            <w:tcBorders>
              <w:top w:val="nil"/>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Softwood forest</w:t>
            </w:r>
          </w:p>
        </w:tc>
        <w:tc>
          <w:tcPr>
            <w:tcW w:w="5836" w:type="dxa"/>
            <w:tcBorders>
              <w:top w:val="nil"/>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The addition of softwood forest to the landscape in patches along the edges of agricultural fields or replacing agricultural fields</w:t>
            </w:r>
          </w:p>
        </w:tc>
        <w:tc>
          <w:tcPr>
            <w:tcW w:w="2107" w:type="dxa"/>
            <w:tcBorders>
              <w:top w:val="nil"/>
              <w:left w:val="nil"/>
              <w:bottom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None, Low, Medium, High</w:t>
            </w:r>
          </w:p>
        </w:tc>
      </w:tr>
      <w:tr w:rsidR="003F789A" w:rsidRPr="00857048" w:rsidTr="00857048">
        <w:trPr>
          <w:trHeight w:val="300"/>
        </w:trPr>
        <w:tc>
          <w:tcPr>
            <w:tcW w:w="1493" w:type="dxa"/>
            <w:tcBorders>
              <w:top w:val="nil"/>
              <w:left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Broadleaved forest</w:t>
            </w:r>
          </w:p>
        </w:tc>
        <w:tc>
          <w:tcPr>
            <w:tcW w:w="5836" w:type="dxa"/>
            <w:tcBorders>
              <w:top w:val="nil"/>
              <w:left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The addition of broadleaved forest to the landscape in patches along the edges of agricultural fields or replacing agricultural fields</w:t>
            </w:r>
          </w:p>
        </w:tc>
        <w:tc>
          <w:tcPr>
            <w:tcW w:w="2107" w:type="dxa"/>
            <w:tcBorders>
              <w:top w:val="nil"/>
              <w:left w:val="nil"/>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None, Low, Medium, High</w:t>
            </w:r>
          </w:p>
        </w:tc>
      </w:tr>
      <w:tr w:rsidR="003F789A" w:rsidRPr="00857048" w:rsidTr="00857048">
        <w:trPr>
          <w:trHeight w:val="300"/>
        </w:trPr>
        <w:tc>
          <w:tcPr>
            <w:tcW w:w="1493" w:type="dxa"/>
            <w:tcBorders>
              <w:top w:val="nil"/>
              <w:left w:val="nil"/>
              <w:bottom w:val="single" w:sz="12" w:space="0" w:color="auto"/>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Houses</w:t>
            </w:r>
          </w:p>
        </w:tc>
        <w:tc>
          <w:tcPr>
            <w:tcW w:w="5836" w:type="dxa"/>
            <w:tcBorders>
              <w:top w:val="nil"/>
              <w:left w:val="nil"/>
              <w:bottom w:val="single" w:sz="12" w:space="0" w:color="auto"/>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Amount of additional houses to be built in  East Lothian (per year)</w:t>
            </w:r>
          </w:p>
        </w:tc>
        <w:tc>
          <w:tcPr>
            <w:tcW w:w="2107" w:type="dxa"/>
            <w:tcBorders>
              <w:top w:val="nil"/>
              <w:left w:val="nil"/>
              <w:bottom w:val="single" w:sz="12" w:space="0" w:color="auto"/>
              <w:right w:val="nil"/>
            </w:tcBorders>
            <w:noWrap/>
          </w:tcPr>
          <w:p w:rsidR="003F789A" w:rsidRPr="00623376" w:rsidRDefault="003F789A" w:rsidP="00623376">
            <w:pPr>
              <w:spacing w:after="100" w:afterAutospacing="1" w:line="240" w:lineRule="auto"/>
              <w:jc w:val="left"/>
              <w:rPr>
                <w:rFonts w:cs="Arial"/>
                <w:color w:val="000000"/>
                <w:sz w:val="18"/>
                <w:szCs w:val="18"/>
                <w:lang w:eastAsia="nl-NL"/>
              </w:rPr>
            </w:pPr>
            <w:r w:rsidRPr="00623376">
              <w:rPr>
                <w:rFonts w:cs="Arial"/>
                <w:color w:val="000000"/>
                <w:sz w:val="18"/>
                <w:szCs w:val="18"/>
                <w:lang w:eastAsia="nl-NL"/>
              </w:rPr>
              <w:t>250 (16ha), 500 (32ha), 750 (48ha), 1000 (64ha)</w:t>
            </w:r>
          </w:p>
        </w:tc>
      </w:tr>
    </w:tbl>
    <w:p w:rsidR="003F789A" w:rsidRPr="00857048" w:rsidRDefault="003F789A" w:rsidP="00857048">
      <w:pPr>
        <w:spacing w:after="100" w:afterAutospacing="1" w:line="360" w:lineRule="auto"/>
        <w:ind w:firstLine="360"/>
        <w:rPr>
          <w:rFonts w:cs="Arial"/>
          <w:sz w:val="20"/>
        </w:rPr>
      </w:pPr>
    </w:p>
    <w:p w:rsidR="003F789A" w:rsidRPr="006D566F" w:rsidRDefault="003F789A" w:rsidP="006D566F">
      <w:pPr>
        <w:pStyle w:val="ListParagraph"/>
        <w:keepNext/>
        <w:ind w:left="0"/>
        <w:jc w:val="both"/>
        <w:rPr>
          <w:rFonts w:ascii="Arial" w:hAnsi="Arial" w:cs="Arial"/>
          <w:b/>
          <w:i/>
          <w:sz w:val="20"/>
          <w:szCs w:val="20"/>
        </w:rPr>
      </w:pPr>
      <w:r w:rsidRPr="006D566F">
        <w:rPr>
          <w:rFonts w:ascii="Arial" w:hAnsi="Arial" w:cs="Arial"/>
          <w:b/>
          <w:i/>
          <w:sz w:val="20"/>
          <w:szCs w:val="20"/>
        </w:rPr>
        <w:t>Experimental design of the choice experiment</w:t>
      </w:r>
    </w:p>
    <w:p w:rsidR="003F789A" w:rsidRPr="00857048" w:rsidRDefault="003F789A" w:rsidP="008E09A9">
      <w:pPr>
        <w:keepNext/>
        <w:spacing w:after="100" w:afterAutospacing="1" w:line="360" w:lineRule="auto"/>
        <w:rPr>
          <w:rFonts w:cs="Arial"/>
          <w:sz w:val="20"/>
        </w:rPr>
      </w:pPr>
      <w:r w:rsidRPr="00857048">
        <w:rPr>
          <w:rFonts w:cs="Arial"/>
          <w:sz w:val="20"/>
        </w:rPr>
        <w:t xml:space="preserve">To obtain the choice sets an experimental design is used to combine all the attributes, according to the different attribute levels, within each alternative. In our case, a full factorial design including all possible alternatives would lead to 256 distinct alternatives (as we have four attributes, each with four different levels) which is unwieldy. We therefore used a fractional factorial design, specifically a randomized balanced overlap design using </w:t>
      </w:r>
      <w:proofErr w:type="spellStart"/>
      <w:r w:rsidRPr="00857048">
        <w:rPr>
          <w:rFonts w:cs="Arial"/>
          <w:sz w:val="20"/>
        </w:rPr>
        <w:t>Sawtooth</w:t>
      </w:r>
      <w:proofErr w:type="spellEnd"/>
      <w:r w:rsidRPr="00857048">
        <w:rPr>
          <w:rFonts w:cs="Arial"/>
          <w:sz w:val="20"/>
        </w:rPr>
        <w:t xml:space="preserve"> software (www.sawtoothsoftware.com), to reduce the number of alternatives. Randomized designs are constructed as to account for (</w:t>
      </w:r>
      <w:proofErr w:type="spellStart"/>
      <w:r w:rsidRPr="00857048">
        <w:rPr>
          <w:rFonts w:cs="Arial"/>
          <w:sz w:val="20"/>
        </w:rPr>
        <w:t>i</w:t>
      </w:r>
      <w:proofErr w:type="spellEnd"/>
      <w:r w:rsidRPr="00857048">
        <w:rPr>
          <w:rFonts w:cs="Arial"/>
          <w:sz w:val="20"/>
        </w:rPr>
        <w:t xml:space="preserve">) minimal overlap, i.e. showing each attribute level as few times as possible in a single choice set, (ii) balanced levels, i.e. showing each attribute an equal number of times overall, and (iii) orthogonality, i.e. choosing attribute levels independently from each other so that each attribute level’s effect can be </w:t>
      </w:r>
      <w:r w:rsidRPr="00857048">
        <w:rPr>
          <w:rFonts w:cs="Arial"/>
          <w:sz w:val="20"/>
        </w:rPr>
        <w:lastRenderedPageBreak/>
        <w:t xml:space="preserve">measured independently from all other effects. To look into possible interactions between attributes, this design allows for some overlap between attributes within choice tasks without losing much precision </w:t>
      </w:r>
      <w:r>
        <w:rPr>
          <w:rFonts w:cs="Arial"/>
          <w:sz w:val="20"/>
        </w:rPr>
        <w:t xml:space="preserve">in </w:t>
      </w:r>
      <w:r w:rsidRPr="00857048">
        <w:rPr>
          <w:rFonts w:cs="Arial"/>
          <w:sz w:val="20"/>
        </w:rPr>
        <w:t xml:space="preserve">the estimates of main effects. </w:t>
      </w:r>
    </w:p>
    <w:p w:rsidR="003F789A" w:rsidRPr="00857048" w:rsidRDefault="003F789A" w:rsidP="00623376">
      <w:pPr>
        <w:spacing w:after="100" w:afterAutospacing="1" w:line="360" w:lineRule="auto"/>
        <w:rPr>
          <w:rFonts w:cs="Arial"/>
          <w:sz w:val="20"/>
        </w:rPr>
      </w:pPr>
      <w:r w:rsidRPr="00857048">
        <w:rPr>
          <w:rFonts w:cs="Arial"/>
          <w:sz w:val="20"/>
        </w:rPr>
        <w:t xml:space="preserve">Our final design consisted of 64 choice sets which we blocked into eight different versions. Respondents were thus confronted with eight choice sets that consisted of three options:  a baseline scenario (i.e. status quo) plus two alternatives. In the baseline scenario, no environmental compensation was offered and the amount of houses to be built in East Lothian was kept at a minimum (250). </w:t>
      </w:r>
    </w:p>
    <w:p w:rsidR="003F789A" w:rsidRPr="006D566F" w:rsidRDefault="003F789A" w:rsidP="006D566F">
      <w:pPr>
        <w:pStyle w:val="ListParagraph"/>
        <w:ind w:left="0"/>
        <w:jc w:val="both"/>
        <w:rPr>
          <w:rFonts w:ascii="Arial" w:hAnsi="Arial" w:cs="Arial"/>
          <w:b/>
          <w:i/>
          <w:sz w:val="20"/>
          <w:szCs w:val="20"/>
        </w:rPr>
      </w:pPr>
      <w:r w:rsidRPr="006D566F">
        <w:rPr>
          <w:rFonts w:ascii="Arial" w:hAnsi="Arial" w:cs="Arial"/>
          <w:b/>
          <w:i/>
          <w:sz w:val="20"/>
          <w:szCs w:val="20"/>
        </w:rPr>
        <w:t>Model specification</w:t>
      </w:r>
    </w:p>
    <w:p w:rsidR="003F789A" w:rsidRPr="00857048" w:rsidRDefault="003F789A" w:rsidP="00623376">
      <w:pPr>
        <w:spacing w:after="100" w:afterAutospacing="1" w:line="360" w:lineRule="auto"/>
        <w:rPr>
          <w:rFonts w:cs="Arial"/>
          <w:sz w:val="20"/>
        </w:rPr>
      </w:pPr>
      <w:r w:rsidRPr="00857048">
        <w:rPr>
          <w:rFonts w:cs="Arial"/>
          <w:sz w:val="20"/>
        </w:rPr>
        <w:t xml:space="preserve">Choice models are based on the assumption that individuals will choose the alternative that maximizes their utility, i.e. provides the greatest utility U. Following Random Utility Theory (RUT) </w:t>
      </w:r>
      <w:r w:rsidRPr="00857048">
        <w:rPr>
          <w:rFonts w:cs="Arial"/>
          <w:sz w:val="20"/>
        </w:rPr>
        <w:fldChar w:fldCharType="begin" w:fldLock="1"/>
      </w:r>
      <w:r w:rsidRPr="00857048">
        <w:rPr>
          <w:rFonts w:cs="Arial"/>
          <w:sz w:val="20"/>
        </w:rPr>
        <w:instrText>ADDIN CSL_CITATION { "citationItems" : [ { "id" : "ITEM-1", "itemData" : { "author" : [ { "dropping-particle" : "", "family" : "McFadden", "given" : "Daniel", "non-dropping-particle" : "", "parse-names" : false, "suffix" : "" } ], "chapter-number" : "4", "container-title" : "Frontiers in Econometrics", "editor" : [ { "dropping-particle" : "", "family" : "Zarembka", "given" : "P", "non-dropping-particle" : "", "parse-names" : false, "suffix" : "" } ], "id" : "ITEM-1", "issued" : { "date-parts" : [ [ "1974" ] ] }, "page" : "105-142", "publisher" : "Academic Press", "publisher-place" : "New York", "title" : "Conditional logit analysis of qualitative choice behavior", "type" : "chapter" }, "uris" : [ "http://www.mendeley.com/documents/?uuid=504bd005-6881-4ca0-bcdd-7559a3d5b2b1" ] } ], "mendeley" : { "formattedCitation" : "(McFadden, 1974)", "plainTextFormattedCitation" : "(McFadden, 1974)", "previouslyFormattedCitation" : "(McFadden, 1974)" }, "properties" : { "noteIndex" : 0 }, "schema" : "https://github.com/citation-style-language/schema/raw/master/csl-citation.json" }</w:instrText>
      </w:r>
      <w:r w:rsidRPr="00857048">
        <w:rPr>
          <w:rFonts w:cs="Arial"/>
          <w:sz w:val="20"/>
        </w:rPr>
        <w:fldChar w:fldCharType="separate"/>
      </w:r>
      <w:r w:rsidRPr="00857048">
        <w:rPr>
          <w:rFonts w:cs="Arial"/>
          <w:noProof/>
          <w:sz w:val="20"/>
        </w:rPr>
        <w:t>(McFadden, 1974)</w:t>
      </w:r>
      <w:r w:rsidRPr="00857048">
        <w:rPr>
          <w:rFonts w:cs="Arial"/>
          <w:sz w:val="20"/>
        </w:rPr>
        <w:fldChar w:fldCharType="end"/>
      </w:r>
      <w:r w:rsidRPr="00857048">
        <w:rPr>
          <w:rFonts w:cs="Arial"/>
          <w:sz w:val="20"/>
        </w:rPr>
        <w:t xml:space="preserve">, the utility of an individual </w:t>
      </w:r>
      <w:proofErr w:type="spellStart"/>
      <w:r w:rsidRPr="00857048">
        <w:rPr>
          <w:rFonts w:cs="Arial"/>
          <w:sz w:val="20"/>
        </w:rPr>
        <w:t>i</w:t>
      </w:r>
      <w:proofErr w:type="spellEnd"/>
      <w:r w:rsidRPr="00857048">
        <w:rPr>
          <w:rFonts w:cs="Arial"/>
          <w:sz w:val="20"/>
        </w:rPr>
        <w:t xml:space="preserve"> from choosing an alternative j consists of a systematic component </w:t>
      </w:r>
      <m:oMath>
        <m:sSub>
          <m:sSubPr>
            <m:ctrlPr>
              <w:rPr>
                <w:rFonts w:ascii="Cambria Math" w:cs="Arial"/>
                <w:i/>
                <w:sz w:val="20"/>
              </w:rPr>
            </m:ctrlPr>
          </m:sSubPr>
          <m:e>
            <m:r>
              <w:rPr>
                <w:rFonts w:ascii="Cambria Math" w:hAnsi="Cambria Math" w:cs="Arial"/>
                <w:sz w:val="20"/>
              </w:rPr>
              <m:t>v</m:t>
            </m:r>
          </m:e>
          <m:sub>
            <m:r>
              <w:rPr>
                <w:rFonts w:ascii="Cambria Math" w:hAnsi="Cambria Math" w:cs="Arial"/>
                <w:sz w:val="20"/>
              </w:rPr>
              <m:t>ij</m:t>
            </m:r>
          </m:sub>
        </m:sSub>
      </m:oMath>
      <w:r w:rsidRPr="00857048">
        <w:rPr>
          <w:rFonts w:cs="Arial"/>
          <w:sz w:val="20"/>
        </w:rPr>
        <w:t xml:space="preserve"> and a random error component </w:t>
      </w:r>
      <m:oMath>
        <m:sSub>
          <m:sSubPr>
            <m:ctrlPr>
              <w:rPr>
                <w:rFonts w:ascii="Cambria Math" w:cs="Arial"/>
                <w:i/>
                <w:sz w:val="20"/>
              </w:rPr>
            </m:ctrlPr>
          </m:sSubPr>
          <m:e>
            <m:r>
              <w:rPr>
                <w:rFonts w:ascii="Cambria Math" w:hAnsi="Cambria Math" w:cs="Arial"/>
                <w:sz w:val="20"/>
              </w:rPr>
              <m:t>ε</m:t>
            </m:r>
          </m:e>
          <m:sub>
            <m:r>
              <w:rPr>
                <w:rFonts w:ascii="Cambria Math" w:hAnsi="Cambria Math" w:cs="Arial"/>
                <w:sz w:val="20"/>
              </w:rPr>
              <m:t>ij</m:t>
            </m:r>
          </m:sub>
        </m:sSub>
      </m:oMath>
      <w:r w:rsidRPr="00857048">
        <w:rPr>
          <w:rFonts w:cs="Arial"/>
          <w:sz w:val="20"/>
        </w:rPr>
        <w:t>, so that</w:t>
      </w:r>
    </w:p>
    <w:p w:rsidR="003F789A" w:rsidRPr="00857048" w:rsidRDefault="003F789A" w:rsidP="006E4A0D">
      <w:pPr>
        <w:spacing w:after="100" w:afterAutospacing="1" w:line="360" w:lineRule="auto"/>
        <w:jc w:val="center"/>
        <w:rPr>
          <w:rFonts w:cs="Arial"/>
          <w:sz w:val="20"/>
        </w:rPr>
      </w:pPr>
      <w:r w:rsidRPr="00857048">
        <w:rPr>
          <w:rFonts w:cs="Arial"/>
          <w:sz w:val="20"/>
        </w:rPr>
        <w:tab/>
      </w:r>
      <m:oMath>
        <m:sSub>
          <m:sSubPr>
            <m:ctrlPr>
              <w:rPr>
                <w:rFonts w:ascii="Cambria Math" w:cs="Arial"/>
                <w:i/>
                <w:sz w:val="24"/>
                <w:szCs w:val="24"/>
              </w:rPr>
            </m:ctrlPr>
          </m:sSubPr>
          <m:e>
            <m:r>
              <w:rPr>
                <w:rFonts w:ascii="Cambria Math" w:hAnsi="Cambria Math" w:cs="Arial"/>
                <w:sz w:val="24"/>
                <w:szCs w:val="24"/>
              </w:rPr>
              <m:t>U</m:t>
            </m:r>
          </m:e>
          <m:sub>
            <m:r>
              <w:rPr>
                <w:rFonts w:ascii="Cambria Math" w:hAnsi="Cambria Math" w:cs="Arial"/>
                <w:sz w:val="24"/>
                <w:szCs w:val="24"/>
              </w:rPr>
              <m:t>ij</m:t>
            </m:r>
          </m:sub>
        </m:sSub>
        <m:r>
          <w:rPr>
            <w:rFonts w:ascii="Cambria Math" w:cs="Arial"/>
            <w:sz w:val="24"/>
            <w:szCs w:val="24"/>
          </w:rPr>
          <m:t>=</m:t>
        </m:r>
        <m:sSub>
          <m:sSubPr>
            <m:ctrlPr>
              <w:rPr>
                <w:rFonts w:ascii="Cambria Math" w:cs="Arial"/>
                <w:i/>
                <w:sz w:val="24"/>
                <w:szCs w:val="24"/>
              </w:rPr>
            </m:ctrlPr>
          </m:sSubPr>
          <m:e>
            <m:r>
              <w:rPr>
                <w:rFonts w:ascii="Cambria Math" w:hAnsi="Cambria Math" w:cs="Arial"/>
                <w:sz w:val="24"/>
                <w:szCs w:val="24"/>
              </w:rPr>
              <m:t>v</m:t>
            </m:r>
          </m:e>
          <m:sub>
            <m:r>
              <w:rPr>
                <w:rFonts w:ascii="Cambria Math" w:hAnsi="Cambria Math" w:cs="Arial"/>
                <w:sz w:val="24"/>
                <w:szCs w:val="24"/>
              </w:rPr>
              <m:t>ij</m:t>
            </m:r>
          </m:sub>
        </m:sSub>
        <m:r>
          <w:rPr>
            <w:rFonts w:ascii="Cambria Math" w:cs="Arial"/>
            <w:sz w:val="24"/>
            <w:szCs w:val="24"/>
          </w:rPr>
          <m:t>+</m:t>
        </m:r>
        <m:sSub>
          <m:sSubPr>
            <m:ctrlPr>
              <w:rPr>
                <w:rFonts w:ascii="Cambria Math" w:cs="Arial"/>
                <w:i/>
                <w:sz w:val="24"/>
                <w:szCs w:val="24"/>
              </w:rPr>
            </m:ctrlPr>
          </m:sSubPr>
          <m:e>
            <m:r>
              <w:rPr>
                <w:rFonts w:ascii="Cambria Math" w:hAnsi="Cambria Math" w:cs="Arial"/>
                <w:sz w:val="24"/>
                <w:szCs w:val="24"/>
              </w:rPr>
              <m:t>ε</m:t>
            </m:r>
          </m:e>
          <m:sub>
            <m:r>
              <w:rPr>
                <w:rFonts w:ascii="Cambria Math" w:hAnsi="Cambria Math" w:cs="Arial"/>
                <w:sz w:val="24"/>
                <w:szCs w:val="24"/>
              </w:rPr>
              <m:t>ij</m:t>
            </m:r>
          </m:sub>
        </m:sSub>
      </m:oMath>
      <w:r w:rsidRPr="00857048">
        <w:rPr>
          <w:rFonts w:cs="Arial"/>
          <w:sz w:val="20"/>
        </w:rPr>
        <w:t xml:space="preserve">                     </w:t>
      </w:r>
      <w:r>
        <w:rPr>
          <w:rFonts w:cs="Arial"/>
          <w:sz w:val="20"/>
        </w:rPr>
        <w:t xml:space="preserve"> </w:t>
      </w:r>
      <w:r w:rsidRPr="00857048">
        <w:rPr>
          <w:rFonts w:cs="Arial"/>
          <w:sz w:val="20"/>
        </w:rPr>
        <w:t xml:space="preserve"> (1)</w:t>
      </w:r>
    </w:p>
    <w:p w:rsidR="003F789A" w:rsidRPr="00857048" w:rsidRDefault="003F789A" w:rsidP="00857048">
      <w:pPr>
        <w:spacing w:after="100" w:afterAutospacing="1" w:line="360" w:lineRule="auto"/>
        <w:rPr>
          <w:rFonts w:cs="Arial"/>
          <w:sz w:val="20"/>
        </w:rPr>
      </w:pPr>
      <w:proofErr w:type="gramStart"/>
      <w:r w:rsidRPr="00857048">
        <w:rPr>
          <w:rFonts w:cs="Arial"/>
          <w:sz w:val="20"/>
        </w:rPr>
        <w:t>where</w:t>
      </w:r>
      <w:proofErr w:type="gramEnd"/>
      <w:r w:rsidRPr="00857048">
        <w:rPr>
          <w:rFonts w:cs="Arial"/>
          <w:sz w:val="20"/>
        </w:rPr>
        <w:t xml:space="preserve"> </w:t>
      </w:r>
      <m:oMath>
        <m:sSub>
          <m:sSubPr>
            <m:ctrlPr>
              <w:rPr>
                <w:rFonts w:ascii="Cambria Math" w:cs="Arial"/>
                <w:i/>
                <w:sz w:val="20"/>
              </w:rPr>
            </m:ctrlPr>
          </m:sSubPr>
          <m:e>
            <m:r>
              <w:rPr>
                <w:rFonts w:ascii="Cambria Math" w:hAnsi="Cambria Math" w:cs="Arial"/>
                <w:sz w:val="20"/>
              </w:rPr>
              <m:t>v</m:t>
            </m:r>
          </m:e>
          <m:sub>
            <m:r>
              <w:rPr>
                <w:rFonts w:ascii="Cambria Math" w:hAnsi="Cambria Math" w:cs="Arial"/>
                <w:sz w:val="20"/>
              </w:rPr>
              <m:t>ij</m:t>
            </m:r>
            <m:r>
              <w:rPr>
                <w:rFonts w:ascii="Cambria Math" w:cs="Arial"/>
                <w:sz w:val="20"/>
              </w:rPr>
              <m:t xml:space="preserve"> </m:t>
            </m:r>
          </m:sub>
        </m:sSub>
      </m:oMath>
      <w:r w:rsidRPr="00857048">
        <w:rPr>
          <w:rFonts w:cs="Arial"/>
          <w:sz w:val="20"/>
        </w:rPr>
        <w:t xml:space="preserve">  is a term which depends on observable explanatory variables and </w:t>
      </w:r>
      <m:oMath>
        <m:sSub>
          <m:sSubPr>
            <m:ctrlPr>
              <w:rPr>
                <w:rFonts w:ascii="Cambria Math" w:cs="Arial"/>
                <w:i/>
                <w:sz w:val="20"/>
              </w:rPr>
            </m:ctrlPr>
          </m:sSubPr>
          <m:e>
            <m:r>
              <w:rPr>
                <w:rFonts w:ascii="Cambria Math" w:hAnsi="Cambria Math" w:cs="Arial"/>
                <w:sz w:val="20"/>
              </w:rPr>
              <m:t>ε</m:t>
            </m:r>
          </m:e>
          <m:sub>
            <m:r>
              <w:rPr>
                <w:rFonts w:ascii="Cambria Math" w:hAnsi="Cambria Math" w:cs="Arial"/>
                <w:sz w:val="20"/>
              </w:rPr>
              <m:t>ij</m:t>
            </m:r>
          </m:sub>
        </m:sSub>
      </m:oMath>
      <w:r w:rsidRPr="00857048">
        <w:rPr>
          <w:rFonts w:cs="Arial"/>
          <w:sz w:val="20"/>
        </w:rPr>
        <w:t xml:space="preserve"> is random variable following a standard Gumbel distribution with a location parameter of 0 and a scale parameter of 1. The systematic component </w:t>
      </w:r>
      <m:oMath>
        <m:sSub>
          <m:sSubPr>
            <m:ctrlPr>
              <w:rPr>
                <w:rFonts w:ascii="Cambria Math" w:cs="Arial"/>
                <w:i/>
                <w:sz w:val="20"/>
              </w:rPr>
            </m:ctrlPr>
          </m:sSubPr>
          <m:e>
            <m:r>
              <w:rPr>
                <w:rFonts w:ascii="Cambria Math" w:hAnsi="Cambria Math" w:cs="Arial"/>
                <w:sz w:val="20"/>
              </w:rPr>
              <m:t>V</m:t>
            </m:r>
          </m:e>
          <m:sub>
            <m:r>
              <w:rPr>
                <w:rFonts w:ascii="Cambria Math" w:hAnsi="Cambria Math" w:cs="Arial"/>
                <w:sz w:val="20"/>
              </w:rPr>
              <m:t>ij</m:t>
            </m:r>
          </m:sub>
        </m:sSub>
      </m:oMath>
      <w:r w:rsidRPr="00857048">
        <w:rPr>
          <w:rFonts w:cs="Arial"/>
          <w:sz w:val="20"/>
        </w:rPr>
        <w:t xml:space="preserve"> can also be denoted as</w:t>
      </w:r>
    </w:p>
    <w:p w:rsidR="003F789A" w:rsidRPr="00857048" w:rsidRDefault="008C4819" w:rsidP="006E4A0D">
      <w:pPr>
        <w:pStyle w:val="ListParagraph"/>
        <w:spacing w:after="100" w:afterAutospacing="1"/>
        <w:ind w:left="0" w:firstLine="567"/>
        <w:jc w:val="center"/>
        <w:rPr>
          <w:rFonts w:ascii="Arial" w:hAnsi="Arial"/>
          <w:sz w:val="20"/>
        </w:rPr>
      </w:pPr>
      <m:oMath>
        <m:sSub>
          <m:sSubPr>
            <m:ctrlPr>
              <w:rPr>
                <w:rFonts w:ascii="Cambria Math" w:hAnsi="Arial" w:cs="Arial"/>
                <w:i/>
              </w:rPr>
            </m:ctrlPr>
          </m:sSubPr>
          <m:e>
            <m:r>
              <w:rPr>
                <w:rFonts w:ascii="Cambria Math" w:hAnsi="Cambria Math" w:cs="Arial"/>
              </w:rPr>
              <m:t>V</m:t>
            </m:r>
          </m:e>
          <m:sub>
            <m:r>
              <w:rPr>
                <w:rFonts w:ascii="Cambria Math" w:hAnsi="Cambria Math" w:cs="Arial"/>
              </w:rPr>
              <m:t>ij</m:t>
            </m:r>
          </m:sub>
        </m:sSub>
        <m:r>
          <w:rPr>
            <w:rFonts w:ascii="Cambria Math" w:hAnsi="Arial" w:cs="Arial"/>
          </w:rPr>
          <m:t xml:space="preserve">= </m:t>
        </m:r>
        <m:sSub>
          <m:sSubPr>
            <m:ctrlPr>
              <w:rPr>
                <w:rFonts w:ascii="Cambria Math" w:hAnsi="Arial" w:cs="Arial"/>
                <w:i/>
              </w:rPr>
            </m:ctrlPr>
          </m:sSubPr>
          <m:e>
            <m:r>
              <w:rPr>
                <w:rFonts w:ascii="Cambria Math" w:hAnsi="Cambria Math" w:cs="Arial"/>
              </w:rPr>
              <m:t>β</m:t>
            </m:r>
          </m:e>
          <m:sub>
            <m:r>
              <w:rPr>
                <w:rFonts w:ascii="Cambria Math" w:hAnsi="Cambria Math" w:cs="Arial"/>
              </w:rPr>
              <m:t>i</m:t>
            </m:r>
          </m:sub>
        </m:sSub>
        <m:sSub>
          <m:sSubPr>
            <m:ctrlPr>
              <w:rPr>
                <w:rFonts w:ascii="Cambria Math" w:hAnsi="Arial" w:cs="Arial"/>
                <w:i/>
              </w:rPr>
            </m:ctrlPr>
          </m:sSubPr>
          <m:e>
            <m:r>
              <w:rPr>
                <w:rFonts w:ascii="Cambria Math" w:hAnsi="Cambria Math" w:cs="Arial"/>
              </w:rPr>
              <m:t>X</m:t>
            </m:r>
          </m:e>
          <m:sub>
            <m:r>
              <w:rPr>
                <w:rFonts w:ascii="Cambria Math" w:hAnsi="Cambria Math" w:cs="Arial"/>
              </w:rPr>
              <m:t>ij</m:t>
            </m:r>
          </m:sub>
        </m:sSub>
      </m:oMath>
      <w:r w:rsidR="003F789A" w:rsidRPr="00857048">
        <w:rPr>
          <w:rFonts w:ascii="Arial" w:hAnsi="Arial" w:cs="Arial"/>
          <w:sz w:val="20"/>
          <w:szCs w:val="20"/>
        </w:rPr>
        <w:t xml:space="preserve">                          (2)</w:t>
      </w:r>
    </w:p>
    <w:p w:rsidR="003F789A" w:rsidRPr="00857048" w:rsidRDefault="003F789A" w:rsidP="00857048">
      <w:pPr>
        <w:spacing w:after="100" w:afterAutospacing="1" w:line="360" w:lineRule="auto"/>
        <w:rPr>
          <w:rFonts w:cs="Arial"/>
          <w:sz w:val="20"/>
        </w:rPr>
      </w:pPr>
      <w:proofErr w:type="gramStart"/>
      <w:r w:rsidRPr="00857048">
        <w:rPr>
          <w:rFonts w:cs="Arial"/>
          <w:sz w:val="20"/>
        </w:rPr>
        <w:t>where</w:t>
      </w:r>
      <w:proofErr w:type="gramEnd"/>
      <w:r w:rsidRPr="00857048">
        <w:rPr>
          <w:rFonts w:cs="Arial"/>
          <w:sz w:val="20"/>
        </w:rPr>
        <w:t xml:space="preserve"> X is a vector of explanatory variables, i.e. attributes (with different levels), and </w:t>
      </w:r>
      <m:oMath>
        <m:r>
          <w:rPr>
            <w:rFonts w:ascii="Cambria Math" w:hAnsi="Cambria Math" w:cs="Arial"/>
            <w:sz w:val="20"/>
          </w:rPr>
          <m:t>β</m:t>
        </m:r>
      </m:oMath>
      <w:r w:rsidRPr="00857048">
        <w:rPr>
          <w:rFonts w:cs="Arial"/>
          <w:sz w:val="20"/>
        </w:rPr>
        <w:t xml:space="preserve"> is a vector of individual specific utility parameters. </w:t>
      </w:r>
    </w:p>
    <w:p w:rsidR="003F789A" w:rsidRPr="00857048" w:rsidRDefault="003F789A" w:rsidP="00857048">
      <w:pPr>
        <w:pStyle w:val="ListParagraph"/>
        <w:spacing w:after="100" w:afterAutospacing="1"/>
        <w:ind w:left="0"/>
        <w:jc w:val="both"/>
        <w:rPr>
          <w:rFonts w:ascii="Arial" w:hAnsi="Arial" w:cs="Arial"/>
          <w:sz w:val="20"/>
          <w:szCs w:val="20"/>
        </w:rPr>
      </w:pPr>
      <w:r>
        <w:rPr>
          <w:rFonts w:ascii="Arial" w:hAnsi="Arial" w:cs="Arial"/>
          <w:sz w:val="20"/>
          <w:szCs w:val="20"/>
        </w:rPr>
        <w:t>A</w:t>
      </w:r>
      <w:r w:rsidRPr="00857048">
        <w:rPr>
          <w:rFonts w:ascii="Arial" w:hAnsi="Arial" w:cs="Arial"/>
          <w:sz w:val="20"/>
          <w:szCs w:val="20"/>
        </w:rPr>
        <w:t xml:space="preserve"> wide range of methods exists to analyze choice experiment data of which the conditional logit (CL) model has been most standard. A strength of the CL model is its simplicity, but the model also assumes that respondents have identical preferences. Though it is possible to take into account some observed preference heterogeneity through interaction terms, other models have been proposed to relax the homogeneity assumption and to account for unobserved heterogeneity </w:t>
      </w:r>
      <w:r w:rsidRPr="00857048">
        <w:rPr>
          <w:rFonts w:ascii="Arial" w:hAnsi="Arial" w:cs="Arial"/>
          <w:sz w:val="20"/>
          <w:szCs w:val="20"/>
        </w:rPr>
        <w:fldChar w:fldCharType="begin" w:fldLock="1"/>
      </w:r>
      <w:r w:rsidRPr="00857048">
        <w:rPr>
          <w:rFonts w:ascii="Arial" w:hAnsi="Arial" w:cs="Arial"/>
          <w:sz w:val="20"/>
          <w:szCs w:val="20"/>
        </w:rPr>
        <w:instrText>ADDIN CSL_CITATION { "citationItems" : [ { "id" : "ITEM-1", "itemData" : { "DOI" : "10.1023/A:1021351721619", "ISSN" : "1573-1502", "author" : [ { "dropping-particle" : "", "family" : "Boxall", "given" : "Peter C.", "non-dropping-particle" : "", "parse-names" : false, "suffix" : "" }, { "dropping-particle" : "", "family" : "Adamowicz", "given" : "Wiktor L.", "non-dropping-particle" : "", "parse-names" : false, "suffix" : "" } ], "container-title" : "Environmental and Resource Economics", "id" : "ITEM-1", "issue" : "4", "issued" : { "date-parts" : [ [ "0" ] ] }, "language" : "en", "page" : "421-446", "publisher" : "Kluwer Academic Publishers", "title" : "Understanding Heterogeneous Preferences in Random Utility Models: A Latent Class Approach", "type" : "article-journal", "volume" : "23" }, "uris" : [ "http://www.mendeley.com/documents/?uuid=0affbd49-3554-46d6-ac9e-735f1bd902be" ] } ], "mendeley" : { "formattedCitation" : "(Boxall and Adamowicz, n.d.)", "manualFormatting" : "(Boxall &amp; Adamowicz, 2002)", "plainTextFormattedCitation" : "(Boxall and Adamowicz, n.d.)", "previouslyFormattedCitation" : "(Boxall and Adamowicz, n.d.)" }, "properties" : { "noteIndex" : 0 }, "schema" : "https://github.com/citation-style-language/schema/raw/master/csl-citation.json" }</w:instrText>
      </w:r>
      <w:r w:rsidRPr="00857048">
        <w:rPr>
          <w:rFonts w:ascii="Arial" w:hAnsi="Arial" w:cs="Arial"/>
          <w:sz w:val="20"/>
          <w:szCs w:val="20"/>
        </w:rPr>
        <w:fldChar w:fldCharType="separate"/>
      </w:r>
      <w:r w:rsidRPr="00857048">
        <w:rPr>
          <w:rFonts w:ascii="Arial" w:hAnsi="Arial" w:cs="Arial"/>
          <w:noProof/>
          <w:sz w:val="20"/>
          <w:szCs w:val="20"/>
        </w:rPr>
        <w:t>(Boxall &amp; Adamowicz, 2002)</w:t>
      </w:r>
      <w:r w:rsidRPr="00857048">
        <w:rPr>
          <w:rFonts w:ascii="Arial" w:hAnsi="Arial" w:cs="Arial"/>
          <w:sz w:val="20"/>
          <w:szCs w:val="20"/>
        </w:rPr>
        <w:fldChar w:fldCharType="end"/>
      </w:r>
      <w:r w:rsidRPr="00857048">
        <w:rPr>
          <w:rFonts w:ascii="Arial" w:hAnsi="Arial" w:cs="Arial"/>
          <w:sz w:val="20"/>
          <w:szCs w:val="20"/>
        </w:rPr>
        <w:t xml:space="preserve">. One of these is the latent class model (LCM) which we employed in this study. </w:t>
      </w:r>
    </w:p>
    <w:p w:rsidR="003F789A" w:rsidRPr="00857048" w:rsidRDefault="003F789A" w:rsidP="00623376">
      <w:pPr>
        <w:spacing w:after="100" w:afterAutospacing="1" w:line="360" w:lineRule="auto"/>
        <w:rPr>
          <w:rFonts w:cs="Arial"/>
          <w:sz w:val="20"/>
        </w:rPr>
      </w:pPr>
      <w:r w:rsidRPr="00857048">
        <w:rPr>
          <w:rFonts w:cs="Arial"/>
          <w:sz w:val="20"/>
        </w:rPr>
        <w:t xml:space="preserve">In a LCM the assumption is made that an individual can be sorted into a set of C classes which are all characterized by unique class-specific utility parameters. The choice for a certain alternative by an individual </w:t>
      </w:r>
      <w:proofErr w:type="spellStart"/>
      <w:r w:rsidRPr="00857048">
        <w:rPr>
          <w:rFonts w:cs="Arial"/>
          <w:sz w:val="20"/>
        </w:rPr>
        <w:t>i</w:t>
      </w:r>
      <w:proofErr w:type="spellEnd"/>
      <w:r w:rsidRPr="00857048">
        <w:rPr>
          <w:rFonts w:cs="Arial"/>
          <w:sz w:val="20"/>
        </w:rPr>
        <w:t xml:space="preserve">  is conditioned by class membership c, so that the probability for choosing alternative j amongst a set of  N alternatives can be denoted as</w:t>
      </w:r>
    </w:p>
    <w:p w:rsidR="003F789A" w:rsidRPr="00857048" w:rsidRDefault="003F789A" w:rsidP="006E4A0D">
      <w:pPr>
        <w:pStyle w:val="ListParagraph"/>
        <w:spacing w:after="100" w:afterAutospacing="1"/>
        <w:ind w:left="0"/>
        <w:jc w:val="center"/>
        <w:rPr>
          <w:rFonts w:ascii="Arial" w:hAnsi="Arial" w:cs="Arial"/>
          <w:sz w:val="20"/>
          <w:szCs w:val="20"/>
        </w:rPr>
      </w:pPr>
      <w:r>
        <w:rPr>
          <w:rFonts w:ascii="Arial" w:hAnsi="Arial" w:cs="Arial"/>
          <w:sz w:val="20"/>
          <w:szCs w:val="20"/>
        </w:rPr>
        <w:lastRenderedPageBreak/>
        <w:t xml:space="preserve">    </w:t>
      </w:r>
      <m:oMath>
        <m:sSub>
          <m:sSubPr>
            <m:ctrlPr>
              <w:rPr>
                <w:rFonts w:ascii="Cambria Math" w:hAnsi="Arial" w:cs="Arial"/>
                <w:i/>
                <w:sz w:val="28"/>
                <w:szCs w:val="28"/>
              </w:rPr>
            </m:ctrlPr>
          </m:sSubPr>
          <m:e>
            <m:r>
              <w:rPr>
                <w:rFonts w:ascii="Cambria Math" w:hAnsi="Cambria Math" w:cs="Arial"/>
                <w:sz w:val="28"/>
                <w:szCs w:val="28"/>
              </w:rPr>
              <m:t>P</m:t>
            </m:r>
          </m:e>
          <m:sub>
            <m:r>
              <w:rPr>
                <w:rFonts w:ascii="Cambria Math" w:hAnsi="Cambria Math" w:cs="Arial"/>
                <w:sz w:val="28"/>
                <w:szCs w:val="28"/>
              </w:rPr>
              <m:t>ij</m:t>
            </m:r>
            <m:r>
              <w:rPr>
                <w:rFonts w:ascii="Cambria Math" w:hAnsi="Arial" w:cs="Arial"/>
                <w:sz w:val="28"/>
                <w:szCs w:val="28"/>
              </w:rPr>
              <m:t>|</m:t>
            </m:r>
            <m:r>
              <w:rPr>
                <w:rFonts w:ascii="Cambria Math" w:hAnsi="Cambria Math" w:cs="Arial"/>
                <w:sz w:val="28"/>
                <w:szCs w:val="28"/>
              </w:rPr>
              <m:t>c</m:t>
            </m:r>
          </m:sub>
        </m:sSub>
        <m:r>
          <w:rPr>
            <w:rFonts w:ascii="Cambria Math" w:hAnsi="Arial" w:cs="Arial"/>
            <w:sz w:val="28"/>
            <w:szCs w:val="28"/>
          </w:rPr>
          <m:t>=</m:t>
        </m:r>
        <m:f>
          <m:fPr>
            <m:ctrlPr>
              <w:rPr>
                <w:rFonts w:ascii="Cambria Math" w:hAnsi="Arial" w:cs="Arial"/>
                <w:i/>
                <w:sz w:val="28"/>
                <w:szCs w:val="28"/>
              </w:rPr>
            </m:ctrlPr>
          </m:fPr>
          <m:num>
            <m:r>
              <m:rPr>
                <m:sty m:val="p"/>
              </m:rPr>
              <w:rPr>
                <w:rFonts w:ascii="Cambria Math" w:hAnsi="Arial" w:cs="Arial"/>
                <w:sz w:val="28"/>
                <w:szCs w:val="28"/>
              </w:rPr>
              <m:t>exp</m:t>
            </m:r>
            <m:r>
              <m:rPr>
                <m:sty m:val="p"/>
              </m:rPr>
              <w:rPr>
                <w:rFonts w:ascii="Cambria Math" w:hAnsi="Cambria Math" w:cs="Arial"/>
                <w:sz w:val="28"/>
                <w:szCs w:val="28"/>
              </w:rPr>
              <m:t>⁡</m:t>
            </m:r>
            <m:r>
              <w:rPr>
                <w:rFonts w:ascii="Cambria Math" w:hAnsi="Arial" w:cs="Arial"/>
                <w:sz w:val="28"/>
                <w:szCs w:val="28"/>
              </w:rPr>
              <m:t>(</m:t>
            </m:r>
            <m:sSub>
              <m:sSubPr>
                <m:ctrlPr>
                  <w:rPr>
                    <w:rFonts w:ascii="Cambria Math" w:hAnsi="Arial" w:cs="Arial"/>
                    <w:i/>
                    <w:sz w:val="28"/>
                    <w:szCs w:val="28"/>
                  </w:rPr>
                </m:ctrlPr>
              </m:sSubPr>
              <m:e>
                <m:r>
                  <w:rPr>
                    <w:rFonts w:ascii="Cambria Math" w:hAnsi="Cambria Math" w:cs="Arial"/>
                    <w:sz w:val="28"/>
                    <w:szCs w:val="28"/>
                  </w:rPr>
                  <m:t>β</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X</m:t>
                </m:r>
              </m:e>
              <m:sub>
                <m:r>
                  <w:rPr>
                    <w:rFonts w:ascii="Cambria Math" w:hAnsi="Cambria Math" w:cs="Arial"/>
                    <w:sz w:val="28"/>
                    <w:szCs w:val="28"/>
                  </w:rPr>
                  <m:t>ij</m:t>
                </m:r>
              </m:sub>
            </m:sSub>
            <m:r>
              <w:rPr>
                <w:rFonts w:ascii="Cambria Math" w:hAnsi="Arial" w:cs="Arial"/>
                <w:sz w:val="28"/>
                <w:szCs w:val="28"/>
              </w:rPr>
              <m:t>)</m:t>
            </m:r>
          </m:num>
          <m:den>
            <m:nary>
              <m:naryPr>
                <m:chr m:val="∑"/>
                <m:limLoc m:val="undOvr"/>
                <m:ctrlPr>
                  <w:rPr>
                    <w:rFonts w:ascii="Cambria Math" w:hAnsi="Arial" w:cs="Arial"/>
                    <w:i/>
                    <w:sz w:val="28"/>
                    <w:szCs w:val="28"/>
                  </w:rPr>
                </m:ctrlPr>
              </m:naryPr>
              <m:sub>
                <m:r>
                  <w:rPr>
                    <w:rFonts w:ascii="Cambria Math" w:hAnsi="Cambria Math" w:cs="Arial"/>
                    <w:sz w:val="28"/>
                    <w:szCs w:val="28"/>
                  </w:rPr>
                  <m:t>n</m:t>
                </m:r>
                <m:r>
                  <w:rPr>
                    <w:rFonts w:ascii="Cambria Math" w:hAnsi="Arial" w:cs="Arial"/>
                    <w:sz w:val="28"/>
                    <w:szCs w:val="28"/>
                  </w:rPr>
                  <m:t>=1</m:t>
                </m:r>
              </m:sub>
              <m:sup>
                <m:r>
                  <w:rPr>
                    <w:rFonts w:ascii="Cambria Math" w:hAnsi="Cambria Math" w:cs="Arial"/>
                    <w:sz w:val="28"/>
                    <w:szCs w:val="28"/>
                  </w:rPr>
                  <m:t>N</m:t>
                </m:r>
              </m:sup>
              <m:e>
                <m:r>
                  <m:rPr>
                    <m:sty m:val="p"/>
                  </m:rPr>
                  <w:rPr>
                    <w:rFonts w:ascii="Cambria Math" w:hAnsi="Arial" w:cs="Arial"/>
                    <w:sz w:val="28"/>
                    <w:szCs w:val="28"/>
                  </w:rPr>
                  <m:t>exp</m:t>
                </m:r>
                <m:r>
                  <m:rPr>
                    <m:sty m:val="p"/>
                  </m:rPr>
                  <w:rPr>
                    <w:rFonts w:ascii="Cambria Math" w:hAnsi="Cambria Math" w:cs="Arial"/>
                    <w:sz w:val="28"/>
                    <w:szCs w:val="28"/>
                  </w:rPr>
                  <m:t>⁡</m:t>
                </m:r>
                <m:r>
                  <w:rPr>
                    <w:rFonts w:ascii="Cambria Math" w:hAnsi="Arial" w:cs="Arial"/>
                    <w:sz w:val="28"/>
                    <w:szCs w:val="28"/>
                  </w:rPr>
                  <m:t>(</m:t>
                </m:r>
                <m:sSub>
                  <m:sSubPr>
                    <m:ctrlPr>
                      <w:rPr>
                        <w:rFonts w:ascii="Cambria Math" w:hAnsi="Arial" w:cs="Arial"/>
                        <w:i/>
                        <w:sz w:val="28"/>
                        <w:szCs w:val="28"/>
                      </w:rPr>
                    </m:ctrlPr>
                  </m:sSubPr>
                  <m:e>
                    <m:r>
                      <w:rPr>
                        <w:rFonts w:ascii="Cambria Math" w:hAnsi="Cambria Math" w:cs="Arial"/>
                        <w:sz w:val="28"/>
                        <w:szCs w:val="28"/>
                      </w:rPr>
                      <m:t>β</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X</m:t>
                    </m:r>
                  </m:e>
                  <m:sub>
                    <m:r>
                      <w:rPr>
                        <w:rFonts w:ascii="Cambria Math" w:hAnsi="Cambria Math" w:cs="Arial"/>
                        <w:sz w:val="28"/>
                        <w:szCs w:val="28"/>
                      </w:rPr>
                      <m:t>in</m:t>
                    </m:r>
                  </m:sub>
                </m:sSub>
                <m:r>
                  <w:rPr>
                    <w:rFonts w:ascii="Cambria Math" w:hAnsi="Arial" w:cs="Arial"/>
                    <w:sz w:val="28"/>
                    <w:szCs w:val="28"/>
                  </w:rPr>
                  <m:t>)</m:t>
                </m:r>
              </m:e>
            </m:nary>
          </m:den>
        </m:f>
        <m:r>
          <w:rPr>
            <w:rFonts w:ascii="Cambria Math" w:hAnsi="Arial" w:cs="Arial"/>
            <w:sz w:val="28"/>
            <w:szCs w:val="28"/>
          </w:rPr>
          <m:t xml:space="preserve">              </m:t>
        </m:r>
      </m:oMath>
      <w:r w:rsidRPr="00857048">
        <w:rPr>
          <w:rFonts w:ascii="Arial" w:hAnsi="Arial" w:cs="Arial"/>
          <w:sz w:val="20"/>
          <w:szCs w:val="20"/>
        </w:rPr>
        <w:t>(3)</w:t>
      </w:r>
    </w:p>
    <w:p w:rsidR="003F789A" w:rsidRPr="00857048" w:rsidRDefault="003F789A" w:rsidP="00857048">
      <w:pPr>
        <w:spacing w:after="100" w:afterAutospacing="1" w:line="360" w:lineRule="auto"/>
        <w:rPr>
          <w:rFonts w:cs="Arial"/>
          <w:sz w:val="20"/>
        </w:rPr>
      </w:pPr>
      <w:r w:rsidRPr="00857048">
        <w:rPr>
          <w:rFonts w:cs="Arial"/>
          <w:sz w:val="20"/>
        </w:rPr>
        <w:t xml:space="preserve">The probability that individual </w:t>
      </w:r>
      <w:proofErr w:type="spellStart"/>
      <w:r w:rsidRPr="00857048">
        <w:rPr>
          <w:rFonts w:cs="Arial"/>
          <w:sz w:val="20"/>
        </w:rPr>
        <w:t>i</w:t>
      </w:r>
      <w:proofErr w:type="spellEnd"/>
      <w:r w:rsidRPr="00857048">
        <w:rPr>
          <w:rFonts w:cs="Arial"/>
          <w:sz w:val="20"/>
        </w:rPr>
        <w:t xml:space="preserve">  belongs to class c out of C classes can be denoted as</w:t>
      </w:r>
    </w:p>
    <w:p w:rsidR="003F789A" w:rsidRPr="00857048" w:rsidRDefault="008C4819" w:rsidP="00857048">
      <w:pPr>
        <w:spacing w:after="100" w:afterAutospacing="1" w:line="360" w:lineRule="auto"/>
        <w:ind w:left="2832"/>
        <w:rPr>
          <w:rFonts w:cs="Arial"/>
          <w:sz w:val="20"/>
        </w:rPr>
      </w:pPr>
      <m:oMath>
        <m:sSub>
          <m:sSubPr>
            <m:ctrlPr>
              <w:rPr>
                <w:rFonts w:ascii="Cambria Math" w:cs="Arial"/>
                <w:i/>
                <w:sz w:val="28"/>
                <w:szCs w:val="28"/>
              </w:rPr>
            </m:ctrlPr>
          </m:sSubPr>
          <m:e>
            <m:r>
              <w:rPr>
                <w:rFonts w:ascii="Cambria Math" w:hAnsi="Cambria Math" w:cs="Arial"/>
                <w:sz w:val="28"/>
                <w:szCs w:val="28"/>
              </w:rPr>
              <m:t>P</m:t>
            </m:r>
          </m:e>
          <m:sub>
            <m:r>
              <w:rPr>
                <w:rFonts w:ascii="Cambria Math" w:hAnsi="Cambria Math" w:cs="Arial"/>
                <w:sz w:val="28"/>
                <w:szCs w:val="28"/>
              </w:rPr>
              <m:t>c</m:t>
            </m:r>
          </m:sub>
        </m:sSub>
        <m:r>
          <w:rPr>
            <w:rFonts w:ascii="Cambria Math" w:cs="Arial"/>
            <w:sz w:val="28"/>
            <w:szCs w:val="28"/>
          </w:rPr>
          <m:t>=</m:t>
        </m:r>
        <m:f>
          <m:fPr>
            <m:ctrlPr>
              <w:rPr>
                <w:rFonts w:ascii="Cambria Math" w:cs="Arial"/>
                <w:i/>
                <w:sz w:val="28"/>
                <w:szCs w:val="28"/>
              </w:rPr>
            </m:ctrlPr>
          </m:fPr>
          <m:num>
            <m:r>
              <m:rPr>
                <m:sty m:val="p"/>
              </m:rPr>
              <w:rPr>
                <w:rFonts w:ascii="Cambria Math" w:cs="Arial"/>
                <w:sz w:val="28"/>
                <w:szCs w:val="28"/>
              </w:rPr>
              <m:t>exp</m:t>
            </m:r>
            <m:r>
              <m:rPr>
                <m:sty m:val="p"/>
              </m:rPr>
              <w:rPr>
                <w:rFonts w:ascii="Cambria Math" w:hAnsi="Cambria Math" w:cs="Arial"/>
                <w:sz w:val="28"/>
                <w:szCs w:val="28"/>
              </w:rPr>
              <m:t>⁡</m:t>
            </m:r>
            <m:r>
              <w:rPr>
                <w:rFonts w:ascii="Cambria Math" w:cs="Arial"/>
                <w:sz w:val="28"/>
                <w:szCs w:val="28"/>
              </w:rPr>
              <m:t>(</m:t>
            </m:r>
            <m:sSub>
              <m:sSubPr>
                <m:ctrlPr>
                  <w:rPr>
                    <w:rFonts w:ascii="Cambria Math" w:cs="Arial"/>
                    <w:i/>
                    <w:sz w:val="28"/>
                    <w:szCs w:val="28"/>
                  </w:rPr>
                </m:ctrlPr>
              </m:sSubPr>
              <m:e>
                <m:r>
                  <w:rPr>
                    <w:rFonts w:ascii="Cambria Math" w:hAnsi="Cambria Math" w:cs="Arial"/>
                    <w:sz w:val="28"/>
                    <w:szCs w:val="28"/>
                  </w:rPr>
                  <m:t>γ</m:t>
                </m:r>
              </m:e>
              <m:sub>
                <m:r>
                  <w:rPr>
                    <w:rFonts w:ascii="Cambria Math" w:hAnsi="Cambria Math" w:cs="Arial"/>
                    <w:sz w:val="28"/>
                    <w:szCs w:val="28"/>
                  </w:rPr>
                  <m:t>c</m:t>
                </m:r>
              </m:sub>
            </m:sSub>
            <m:sSub>
              <m:sSubPr>
                <m:ctrlPr>
                  <w:rPr>
                    <w:rFonts w:ascii="Cambria Math" w:cs="Arial"/>
                    <w:i/>
                    <w:sz w:val="28"/>
                    <w:szCs w:val="28"/>
                  </w:rPr>
                </m:ctrlPr>
              </m:sSubPr>
              <m:e>
                <m:r>
                  <w:rPr>
                    <w:rFonts w:ascii="Cambria Math" w:hAnsi="Cambria Math" w:cs="Arial"/>
                    <w:sz w:val="28"/>
                    <w:szCs w:val="28"/>
                  </w:rPr>
                  <m:t>Z</m:t>
                </m:r>
              </m:e>
              <m:sub>
                <m:r>
                  <w:rPr>
                    <w:rFonts w:ascii="Cambria Math" w:hAnsi="Cambria Math" w:cs="Arial"/>
                    <w:sz w:val="28"/>
                    <w:szCs w:val="28"/>
                  </w:rPr>
                  <m:t>i</m:t>
                </m:r>
              </m:sub>
            </m:sSub>
            <m:r>
              <w:rPr>
                <w:rFonts w:ascii="Cambria Math" w:cs="Arial"/>
                <w:sz w:val="28"/>
                <w:szCs w:val="28"/>
              </w:rPr>
              <m:t>)</m:t>
            </m:r>
          </m:num>
          <m:den>
            <m:nary>
              <m:naryPr>
                <m:chr m:val="∑"/>
                <m:limLoc m:val="undOvr"/>
                <m:ctrlPr>
                  <w:rPr>
                    <w:rFonts w:ascii="Cambria Math" w:cs="Arial"/>
                    <w:sz w:val="28"/>
                    <w:szCs w:val="28"/>
                  </w:rPr>
                </m:ctrlPr>
              </m:naryPr>
              <m:sub>
                <m:r>
                  <m:rPr>
                    <m:sty m:val="p"/>
                  </m:rPr>
                  <w:rPr>
                    <w:rFonts w:ascii="Cambria Math" w:cs="Arial"/>
                    <w:sz w:val="28"/>
                    <w:szCs w:val="28"/>
                  </w:rPr>
                  <m:t>c=1</m:t>
                </m:r>
              </m:sub>
              <m:sup>
                <m:r>
                  <m:rPr>
                    <m:sty m:val="p"/>
                  </m:rPr>
                  <w:rPr>
                    <w:rFonts w:ascii="Cambria Math" w:cs="Arial"/>
                    <w:sz w:val="28"/>
                    <w:szCs w:val="28"/>
                  </w:rPr>
                  <m:t>C</m:t>
                </m:r>
              </m:sup>
              <m:e>
                <m:r>
                  <m:rPr>
                    <m:sty m:val="p"/>
                  </m:rPr>
                  <w:rPr>
                    <w:rFonts w:ascii="Cambria Math" w:cs="Arial"/>
                    <w:sz w:val="28"/>
                    <w:szCs w:val="28"/>
                  </w:rPr>
                  <m:t>exp</m:t>
                </m:r>
                <m:r>
                  <m:rPr>
                    <m:sty m:val="p"/>
                  </m:rPr>
                  <w:rPr>
                    <w:rFonts w:ascii="Cambria Math" w:hAnsi="Cambria Math" w:cs="Arial"/>
                    <w:sz w:val="28"/>
                    <w:szCs w:val="28"/>
                  </w:rPr>
                  <m:t>⁡</m:t>
                </m:r>
                <m:r>
                  <w:rPr>
                    <w:rFonts w:ascii="Cambria Math" w:cs="Arial"/>
                    <w:sz w:val="28"/>
                    <w:szCs w:val="28"/>
                  </w:rPr>
                  <m:t>(</m:t>
                </m:r>
                <m:sSub>
                  <m:sSubPr>
                    <m:ctrlPr>
                      <w:rPr>
                        <w:rFonts w:ascii="Cambria Math" w:cs="Arial"/>
                        <w:i/>
                        <w:sz w:val="28"/>
                        <w:szCs w:val="28"/>
                      </w:rPr>
                    </m:ctrlPr>
                  </m:sSubPr>
                  <m:e>
                    <m:r>
                      <w:rPr>
                        <w:rFonts w:ascii="Cambria Math" w:hAnsi="Cambria Math" w:cs="Arial"/>
                        <w:sz w:val="28"/>
                        <w:szCs w:val="28"/>
                      </w:rPr>
                      <m:t>γ</m:t>
                    </m:r>
                  </m:e>
                  <m:sub>
                    <m:r>
                      <w:rPr>
                        <w:rFonts w:ascii="Cambria Math" w:hAnsi="Cambria Math" w:cs="Arial"/>
                        <w:sz w:val="28"/>
                        <w:szCs w:val="28"/>
                      </w:rPr>
                      <m:t>c</m:t>
                    </m:r>
                  </m:sub>
                </m:sSub>
                <m:sSub>
                  <m:sSubPr>
                    <m:ctrlPr>
                      <w:rPr>
                        <w:rFonts w:ascii="Cambria Math" w:cs="Arial"/>
                        <w:i/>
                        <w:sz w:val="28"/>
                        <w:szCs w:val="28"/>
                      </w:rPr>
                    </m:ctrlPr>
                  </m:sSubPr>
                  <m:e>
                    <m:r>
                      <w:rPr>
                        <w:rFonts w:ascii="Cambria Math" w:hAnsi="Cambria Math" w:cs="Arial"/>
                        <w:sz w:val="28"/>
                        <w:szCs w:val="28"/>
                      </w:rPr>
                      <m:t>Z</m:t>
                    </m:r>
                  </m:e>
                  <m:sub>
                    <m:r>
                      <w:rPr>
                        <w:rFonts w:ascii="Cambria Math" w:hAnsi="Cambria Math" w:cs="Arial"/>
                        <w:sz w:val="28"/>
                        <w:szCs w:val="28"/>
                      </w:rPr>
                      <m:t>i</m:t>
                    </m:r>
                  </m:sub>
                </m:sSub>
                <m:r>
                  <w:rPr>
                    <w:rFonts w:ascii="Cambria Math" w:cs="Arial"/>
                    <w:sz w:val="28"/>
                    <w:szCs w:val="28"/>
                  </w:rPr>
                  <m:t>)</m:t>
                </m:r>
              </m:e>
            </m:nary>
          </m:den>
        </m:f>
      </m:oMath>
      <w:r w:rsidR="003F789A" w:rsidRPr="00857048">
        <w:rPr>
          <w:rFonts w:cs="Arial"/>
          <w:sz w:val="20"/>
          <w:szCs w:val="24"/>
        </w:rPr>
        <w:t xml:space="preserve">      </w:t>
      </w:r>
      <w:r w:rsidR="003F789A" w:rsidRPr="00857048">
        <w:rPr>
          <w:rFonts w:cs="Arial"/>
          <w:sz w:val="20"/>
        </w:rPr>
        <w:t xml:space="preserve">             </w:t>
      </w:r>
      <w:r w:rsidR="003F789A">
        <w:rPr>
          <w:rFonts w:cs="Arial"/>
          <w:sz w:val="20"/>
        </w:rPr>
        <w:t xml:space="preserve">  </w:t>
      </w:r>
      <w:r w:rsidR="003F789A" w:rsidRPr="00857048">
        <w:rPr>
          <w:rFonts w:cs="Arial"/>
          <w:sz w:val="20"/>
        </w:rPr>
        <w:t xml:space="preserve">    (4)</w:t>
      </w:r>
    </w:p>
    <w:p w:rsidR="003F789A" w:rsidRPr="00857048" w:rsidRDefault="003F789A" w:rsidP="00857048">
      <w:pPr>
        <w:spacing w:after="100" w:afterAutospacing="1" w:line="360" w:lineRule="auto"/>
        <w:rPr>
          <w:rFonts w:cs="Arial"/>
          <w:sz w:val="20"/>
        </w:rPr>
      </w:pPr>
      <w:r w:rsidRPr="00857048">
        <w:rPr>
          <w:rFonts w:cs="Arial"/>
          <w:sz w:val="20"/>
        </w:rPr>
        <w:t>where Z is a vector of covariates, commonly observed socio-demographic variables. Both</w:t>
      </w:r>
      <w:r w:rsidRPr="00857048">
        <w:rPr>
          <w:rFonts w:cs="Arial"/>
          <w:sz w:val="20"/>
          <w:szCs w:val="24"/>
        </w:rPr>
        <w:t xml:space="preserve"> </w:t>
      </w:r>
      <m:oMath>
        <m:sSub>
          <m:sSubPr>
            <m:ctrlPr>
              <w:rPr>
                <w:rFonts w:ascii="Cambria Math" w:cs="Arial"/>
                <w:i/>
                <w:sz w:val="24"/>
                <w:szCs w:val="24"/>
              </w:rPr>
            </m:ctrlPr>
          </m:sSubPr>
          <m:e>
            <m:r>
              <w:rPr>
                <w:rFonts w:ascii="Cambria Math" w:hAnsi="Cambria Math" w:cs="Arial"/>
                <w:sz w:val="24"/>
                <w:szCs w:val="24"/>
              </w:rPr>
              <m:t>γ</m:t>
            </m:r>
          </m:e>
          <m:sub>
            <m:r>
              <w:rPr>
                <w:rFonts w:ascii="Cambria Math" w:hAnsi="Cambria Math" w:cs="Arial"/>
                <w:sz w:val="24"/>
                <w:szCs w:val="24"/>
              </w:rPr>
              <m:t>c</m:t>
            </m:r>
          </m:sub>
        </m:sSub>
      </m:oMath>
      <w:r w:rsidRPr="00857048">
        <w:rPr>
          <w:rFonts w:cs="Arial"/>
          <w:sz w:val="20"/>
          <w:szCs w:val="24"/>
        </w:rPr>
        <w:t xml:space="preserve"> </w:t>
      </w:r>
      <w:r w:rsidRPr="00857048">
        <w:rPr>
          <w:rFonts w:cs="Arial"/>
          <w:sz w:val="20"/>
        </w:rPr>
        <w:t xml:space="preserve">and </w:t>
      </w:r>
      <m:oMath>
        <m:sSub>
          <m:sSubPr>
            <m:ctrlPr>
              <w:rPr>
                <w:rFonts w:ascii="Cambria Math" w:cs="Arial"/>
                <w:i/>
                <w:sz w:val="24"/>
                <w:szCs w:val="24"/>
              </w:rPr>
            </m:ctrlPr>
          </m:sSubPr>
          <m:e>
            <m:r>
              <w:rPr>
                <w:rFonts w:ascii="Cambria Math" w:hAnsi="Cambria Math" w:cs="Arial"/>
                <w:sz w:val="24"/>
                <w:szCs w:val="24"/>
              </w:rPr>
              <m:t>β</m:t>
            </m:r>
          </m:e>
          <m:sub>
            <m:r>
              <w:rPr>
                <w:rFonts w:ascii="Cambria Math" w:hAnsi="Cambria Math" w:cs="Arial"/>
                <w:sz w:val="24"/>
                <w:szCs w:val="24"/>
              </w:rPr>
              <m:t>c</m:t>
            </m:r>
          </m:sub>
        </m:sSub>
      </m:oMath>
      <w:r w:rsidRPr="00857048">
        <w:rPr>
          <w:rFonts w:cs="Arial"/>
          <w:sz w:val="20"/>
          <w:szCs w:val="24"/>
        </w:rPr>
        <w:t xml:space="preserve"> </w:t>
      </w:r>
      <w:r w:rsidRPr="00857048">
        <w:rPr>
          <w:rFonts w:cs="Arial"/>
          <w:sz w:val="20"/>
        </w:rPr>
        <w:t xml:space="preserve">are specific class vectors of parameters to be estimated associated respectively with the covariates and attributes. The unconditional joint probability of an individual </w:t>
      </w:r>
      <w:proofErr w:type="spellStart"/>
      <w:r w:rsidRPr="00857048">
        <w:rPr>
          <w:rFonts w:cs="Arial"/>
          <w:sz w:val="20"/>
        </w:rPr>
        <w:t>i</w:t>
      </w:r>
      <w:proofErr w:type="spellEnd"/>
      <w:r w:rsidRPr="00857048">
        <w:rPr>
          <w:rFonts w:cs="Arial"/>
          <w:sz w:val="20"/>
        </w:rPr>
        <w:t xml:space="preserve"> choosing alternative j,  is the product of the two probabilities stated in Eq. (3) and Eq.  (4), so that</w:t>
      </w:r>
    </w:p>
    <w:p w:rsidR="003F789A" w:rsidRPr="00857048" w:rsidRDefault="008C4819" w:rsidP="00857048">
      <w:pPr>
        <w:pStyle w:val="ListParagraph"/>
        <w:spacing w:after="100" w:afterAutospacing="1"/>
        <w:jc w:val="center"/>
        <w:rPr>
          <w:rFonts w:ascii="Arial" w:hAnsi="Arial" w:cs="Arial"/>
          <w:sz w:val="20"/>
          <w:szCs w:val="20"/>
        </w:rPr>
      </w:pPr>
      <m:oMath>
        <m:sSub>
          <m:sSubPr>
            <m:ctrlPr>
              <w:rPr>
                <w:rFonts w:ascii="Cambria Math" w:hAnsi="Arial" w:cs="Arial"/>
                <w:i/>
                <w:sz w:val="28"/>
                <w:szCs w:val="28"/>
              </w:rPr>
            </m:ctrlPr>
          </m:sSubPr>
          <m:e>
            <m:r>
              <w:rPr>
                <w:rFonts w:ascii="Cambria Math" w:hAnsi="Cambria Math" w:cs="Arial"/>
                <w:sz w:val="28"/>
                <w:szCs w:val="28"/>
              </w:rPr>
              <m:t>P</m:t>
            </m:r>
          </m:e>
          <m:sub>
            <m:r>
              <w:rPr>
                <w:rFonts w:ascii="Cambria Math" w:hAnsi="Cambria Math" w:cs="Arial"/>
                <w:sz w:val="28"/>
                <w:szCs w:val="28"/>
              </w:rPr>
              <m:t>ij</m:t>
            </m:r>
          </m:sub>
        </m:sSub>
        <m:r>
          <w:rPr>
            <w:rFonts w:ascii="Cambria Math" w:hAnsi="Arial" w:cs="Arial"/>
            <w:sz w:val="28"/>
            <w:szCs w:val="28"/>
          </w:rPr>
          <m:t xml:space="preserve">= </m:t>
        </m:r>
        <m:nary>
          <m:naryPr>
            <m:chr m:val="∑"/>
            <m:limLoc m:val="undOvr"/>
            <m:ctrlPr>
              <w:rPr>
                <w:rFonts w:ascii="Cambria Math" w:hAnsi="Arial" w:cs="Arial"/>
                <w:i/>
                <w:sz w:val="28"/>
                <w:szCs w:val="28"/>
              </w:rPr>
            </m:ctrlPr>
          </m:naryPr>
          <m:sub>
            <m:r>
              <w:rPr>
                <w:rFonts w:ascii="Cambria Math" w:hAnsi="Cambria Math" w:cs="Arial"/>
                <w:sz w:val="28"/>
                <w:szCs w:val="28"/>
              </w:rPr>
              <m:t>c</m:t>
            </m:r>
            <m:r>
              <w:rPr>
                <w:rFonts w:ascii="Cambria Math" w:hAnsi="Arial" w:cs="Arial"/>
                <w:sz w:val="28"/>
                <w:szCs w:val="28"/>
              </w:rPr>
              <m:t>=1</m:t>
            </m:r>
          </m:sub>
          <m:sup>
            <m:r>
              <w:rPr>
                <w:rFonts w:ascii="Cambria Math" w:hAnsi="Cambria Math" w:cs="Arial"/>
                <w:sz w:val="28"/>
                <w:szCs w:val="28"/>
              </w:rPr>
              <m:t>C</m:t>
            </m:r>
          </m:sup>
          <m:e>
            <m:d>
              <m:dPr>
                <m:begChr m:val="["/>
                <m:endChr m:val="]"/>
                <m:ctrlPr>
                  <w:rPr>
                    <w:rFonts w:ascii="Cambria Math" w:hAnsi="Arial" w:cs="Arial"/>
                    <w:i/>
                    <w:sz w:val="28"/>
                    <w:szCs w:val="28"/>
                  </w:rPr>
                </m:ctrlPr>
              </m:dPr>
              <m:e>
                <m:d>
                  <m:dPr>
                    <m:ctrlPr>
                      <w:rPr>
                        <w:rFonts w:ascii="Cambria Math" w:hAnsi="Arial" w:cs="Arial"/>
                        <w:i/>
                        <w:sz w:val="28"/>
                        <w:szCs w:val="28"/>
                      </w:rPr>
                    </m:ctrlPr>
                  </m:dPr>
                  <m:e>
                    <m:f>
                      <m:fPr>
                        <m:ctrlPr>
                          <w:rPr>
                            <w:rFonts w:ascii="Cambria Math" w:hAnsi="Arial" w:cs="Arial"/>
                            <w:i/>
                            <w:sz w:val="28"/>
                            <w:szCs w:val="28"/>
                          </w:rPr>
                        </m:ctrlPr>
                      </m:fPr>
                      <m:num>
                        <m:func>
                          <m:funcPr>
                            <m:ctrlPr>
                              <w:rPr>
                                <w:rFonts w:ascii="Cambria Math" w:hAnsi="Arial" w:cs="Arial"/>
                                <w:sz w:val="28"/>
                                <w:szCs w:val="28"/>
                              </w:rPr>
                            </m:ctrlPr>
                          </m:funcPr>
                          <m:fName>
                            <m:r>
                              <m:rPr>
                                <m:sty m:val="p"/>
                              </m:rPr>
                              <w:rPr>
                                <w:rFonts w:ascii="Cambria Math" w:hAnsi="Arial" w:cs="Arial"/>
                                <w:sz w:val="28"/>
                                <w:szCs w:val="28"/>
                              </w:rPr>
                              <m:t>exp</m:t>
                            </m:r>
                          </m:fName>
                          <m:e>
                            <m:d>
                              <m:dPr>
                                <m:ctrlPr>
                                  <w:rPr>
                                    <w:rFonts w:ascii="Cambria Math" w:hAnsi="Arial" w:cs="Arial"/>
                                    <w:i/>
                                    <w:sz w:val="28"/>
                                    <w:szCs w:val="28"/>
                                  </w:rPr>
                                </m:ctrlPr>
                              </m:dPr>
                              <m:e>
                                <m:sSub>
                                  <m:sSubPr>
                                    <m:ctrlPr>
                                      <w:rPr>
                                        <w:rFonts w:ascii="Cambria Math" w:hAnsi="Arial" w:cs="Arial"/>
                                        <w:i/>
                                        <w:sz w:val="28"/>
                                        <w:szCs w:val="28"/>
                                      </w:rPr>
                                    </m:ctrlPr>
                                  </m:sSubPr>
                                  <m:e>
                                    <m:r>
                                      <w:rPr>
                                        <w:rFonts w:ascii="Cambria Math" w:hAnsi="Cambria Math" w:cs="Arial"/>
                                        <w:sz w:val="28"/>
                                        <w:szCs w:val="28"/>
                                      </w:rPr>
                                      <m:t>γ</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Z</m:t>
                                    </m:r>
                                  </m:e>
                                  <m:sub>
                                    <m:r>
                                      <w:rPr>
                                        <w:rFonts w:ascii="Cambria Math" w:hAnsi="Cambria Math" w:cs="Arial"/>
                                        <w:sz w:val="28"/>
                                        <w:szCs w:val="28"/>
                                      </w:rPr>
                                      <m:t>i</m:t>
                                    </m:r>
                                  </m:sub>
                                </m:sSub>
                              </m:e>
                            </m:d>
                            <m:ctrlPr>
                              <w:rPr>
                                <w:rFonts w:ascii="Cambria Math" w:hAnsi="Arial" w:cs="Arial"/>
                                <w:i/>
                                <w:sz w:val="28"/>
                                <w:szCs w:val="28"/>
                              </w:rPr>
                            </m:ctrlPr>
                          </m:e>
                        </m:func>
                      </m:num>
                      <m:den>
                        <m:nary>
                          <m:naryPr>
                            <m:chr m:val="∑"/>
                            <m:limLoc m:val="undOvr"/>
                            <m:ctrlPr>
                              <w:rPr>
                                <w:rFonts w:ascii="Cambria Math" w:hAnsi="Arial" w:cs="Arial"/>
                                <w:sz w:val="28"/>
                                <w:szCs w:val="28"/>
                              </w:rPr>
                            </m:ctrlPr>
                          </m:naryPr>
                          <m:sub>
                            <m:r>
                              <m:rPr>
                                <m:sty m:val="p"/>
                              </m:rPr>
                              <w:rPr>
                                <w:rFonts w:ascii="Cambria Math" w:hAnsi="Arial" w:cs="Arial"/>
                                <w:sz w:val="28"/>
                                <w:szCs w:val="28"/>
                              </w:rPr>
                              <m:t>c=1</m:t>
                            </m:r>
                          </m:sub>
                          <m:sup>
                            <m:r>
                              <m:rPr>
                                <m:sty m:val="p"/>
                              </m:rPr>
                              <w:rPr>
                                <w:rFonts w:ascii="Cambria Math" w:hAnsi="Arial" w:cs="Arial"/>
                                <w:sz w:val="28"/>
                                <w:szCs w:val="28"/>
                              </w:rPr>
                              <m:t>C</m:t>
                            </m:r>
                          </m:sup>
                          <m:e>
                            <m:func>
                              <m:funcPr>
                                <m:ctrlPr>
                                  <w:rPr>
                                    <w:rFonts w:ascii="Cambria Math" w:hAnsi="Arial" w:cs="Arial"/>
                                    <w:sz w:val="28"/>
                                    <w:szCs w:val="28"/>
                                  </w:rPr>
                                </m:ctrlPr>
                              </m:funcPr>
                              <m:fName>
                                <m:r>
                                  <m:rPr>
                                    <m:sty m:val="p"/>
                                  </m:rPr>
                                  <w:rPr>
                                    <w:rFonts w:ascii="Cambria Math" w:hAnsi="Arial" w:cs="Arial"/>
                                    <w:sz w:val="28"/>
                                    <w:szCs w:val="28"/>
                                  </w:rPr>
                                  <m:t>exp</m:t>
                                </m:r>
                              </m:fName>
                              <m:e>
                                <m:d>
                                  <m:dPr>
                                    <m:ctrlPr>
                                      <w:rPr>
                                        <w:rFonts w:ascii="Cambria Math" w:hAnsi="Arial" w:cs="Arial"/>
                                        <w:i/>
                                        <w:sz w:val="28"/>
                                        <w:szCs w:val="28"/>
                                      </w:rPr>
                                    </m:ctrlPr>
                                  </m:dPr>
                                  <m:e>
                                    <m:sSub>
                                      <m:sSubPr>
                                        <m:ctrlPr>
                                          <w:rPr>
                                            <w:rFonts w:ascii="Cambria Math" w:hAnsi="Arial" w:cs="Arial"/>
                                            <w:i/>
                                            <w:sz w:val="28"/>
                                            <w:szCs w:val="28"/>
                                          </w:rPr>
                                        </m:ctrlPr>
                                      </m:sSubPr>
                                      <m:e>
                                        <m:r>
                                          <w:rPr>
                                            <w:rFonts w:ascii="Cambria Math" w:hAnsi="Cambria Math" w:cs="Arial"/>
                                            <w:sz w:val="28"/>
                                            <w:szCs w:val="28"/>
                                          </w:rPr>
                                          <m:t>γ</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Z</m:t>
                                        </m:r>
                                      </m:e>
                                      <m:sub>
                                        <m:r>
                                          <w:rPr>
                                            <w:rFonts w:ascii="Cambria Math" w:hAnsi="Cambria Math" w:cs="Arial"/>
                                            <w:sz w:val="28"/>
                                            <w:szCs w:val="28"/>
                                          </w:rPr>
                                          <m:t>i</m:t>
                                        </m:r>
                                      </m:sub>
                                    </m:sSub>
                                  </m:e>
                                </m:d>
                                <m:ctrlPr>
                                  <w:rPr>
                                    <w:rFonts w:ascii="Cambria Math" w:hAnsi="Arial" w:cs="Arial"/>
                                    <w:i/>
                                    <w:sz w:val="28"/>
                                    <w:szCs w:val="28"/>
                                  </w:rPr>
                                </m:ctrlPr>
                              </m:e>
                            </m:func>
                          </m:e>
                        </m:nary>
                      </m:den>
                    </m:f>
                  </m:e>
                </m:d>
                <m:r>
                  <w:rPr>
                    <w:rFonts w:ascii="Cambria Math" w:hAnsi="Arial" w:cs="Arial"/>
                    <w:sz w:val="28"/>
                    <w:szCs w:val="28"/>
                  </w:rPr>
                  <m:t>.</m:t>
                </m:r>
                <m:d>
                  <m:dPr>
                    <m:ctrlPr>
                      <w:rPr>
                        <w:rFonts w:ascii="Cambria Math" w:hAnsi="Arial" w:cs="Arial"/>
                        <w:i/>
                        <w:sz w:val="28"/>
                        <w:szCs w:val="28"/>
                      </w:rPr>
                    </m:ctrlPr>
                  </m:dPr>
                  <m:e>
                    <m:f>
                      <m:fPr>
                        <m:ctrlPr>
                          <w:rPr>
                            <w:rFonts w:ascii="Cambria Math" w:hAnsi="Arial" w:cs="Arial"/>
                            <w:i/>
                            <w:sz w:val="28"/>
                            <w:szCs w:val="28"/>
                          </w:rPr>
                        </m:ctrlPr>
                      </m:fPr>
                      <m:num>
                        <m:func>
                          <m:funcPr>
                            <m:ctrlPr>
                              <w:rPr>
                                <w:rFonts w:ascii="Cambria Math" w:hAnsi="Arial" w:cs="Arial"/>
                                <w:sz w:val="28"/>
                                <w:szCs w:val="28"/>
                              </w:rPr>
                            </m:ctrlPr>
                          </m:funcPr>
                          <m:fName>
                            <m:r>
                              <m:rPr>
                                <m:sty m:val="p"/>
                              </m:rPr>
                              <w:rPr>
                                <w:rFonts w:ascii="Cambria Math" w:hAnsi="Arial" w:cs="Arial"/>
                                <w:sz w:val="28"/>
                                <w:szCs w:val="28"/>
                              </w:rPr>
                              <m:t>exp</m:t>
                            </m:r>
                          </m:fName>
                          <m:e>
                            <m:d>
                              <m:dPr>
                                <m:ctrlPr>
                                  <w:rPr>
                                    <w:rFonts w:ascii="Cambria Math" w:hAnsi="Arial" w:cs="Arial"/>
                                    <w:i/>
                                    <w:sz w:val="28"/>
                                    <w:szCs w:val="28"/>
                                  </w:rPr>
                                </m:ctrlPr>
                              </m:dPr>
                              <m:e>
                                <m:sSub>
                                  <m:sSubPr>
                                    <m:ctrlPr>
                                      <w:rPr>
                                        <w:rFonts w:ascii="Cambria Math" w:hAnsi="Arial" w:cs="Arial"/>
                                        <w:i/>
                                        <w:sz w:val="28"/>
                                        <w:szCs w:val="28"/>
                                      </w:rPr>
                                    </m:ctrlPr>
                                  </m:sSubPr>
                                  <m:e>
                                    <m:r>
                                      <w:rPr>
                                        <w:rFonts w:ascii="Cambria Math" w:hAnsi="Cambria Math" w:cs="Arial"/>
                                        <w:sz w:val="28"/>
                                        <w:szCs w:val="28"/>
                                      </w:rPr>
                                      <m:t>β</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X</m:t>
                                    </m:r>
                                  </m:e>
                                  <m:sub>
                                    <m:r>
                                      <w:rPr>
                                        <w:rFonts w:ascii="Cambria Math" w:hAnsi="Cambria Math" w:cs="Arial"/>
                                        <w:sz w:val="28"/>
                                        <w:szCs w:val="28"/>
                                      </w:rPr>
                                      <m:t>ij</m:t>
                                    </m:r>
                                  </m:sub>
                                </m:sSub>
                              </m:e>
                            </m:d>
                            <m:ctrlPr>
                              <w:rPr>
                                <w:rFonts w:ascii="Cambria Math" w:hAnsi="Arial" w:cs="Arial"/>
                                <w:i/>
                                <w:sz w:val="28"/>
                                <w:szCs w:val="28"/>
                              </w:rPr>
                            </m:ctrlPr>
                          </m:e>
                        </m:func>
                      </m:num>
                      <m:den>
                        <m:nary>
                          <m:naryPr>
                            <m:chr m:val="∑"/>
                            <m:limLoc m:val="undOvr"/>
                            <m:ctrlPr>
                              <w:rPr>
                                <w:rFonts w:ascii="Cambria Math" w:hAnsi="Arial" w:cs="Arial"/>
                                <w:i/>
                                <w:sz w:val="28"/>
                                <w:szCs w:val="28"/>
                              </w:rPr>
                            </m:ctrlPr>
                          </m:naryPr>
                          <m:sub>
                            <m:r>
                              <w:rPr>
                                <w:rFonts w:ascii="Cambria Math" w:hAnsi="Cambria Math" w:cs="Arial"/>
                                <w:sz w:val="28"/>
                                <w:szCs w:val="28"/>
                              </w:rPr>
                              <m:t>n</m:t>
                            </m:r>
                            <m:r>
                              <w:rPr>
                                <w:rFonts w:ascii="Cambria Math" w:hAnsi="Arial" w:cs="Arial"/>
                                <w:sz w:val="28"/>
                                <w:szCs w:val="28"/>
                              </w:rPr>
                              <m:t>=1</m:t>
                            </m:r>
                          </m:sub>
                          <m:sup>
                            <m:r>
                              <w:rPr>
                                <w:rFonts w:ascii="Cambria Math" w:hAnsi="Cambria Math" w:cs="Arial"/>
                                <w:sz w:val="28"/>
                                <w:szCs w:val="28"/>
                              </w:rPr>
                              <m:t>N</m:t>
                            </m:r>
                          </m:sup>
                          <m:e>
                            <m:func>
                              <m:funcPr>
                                <m:ctrlPr>
                                  <w:rPr>
                                    <w:rFonts w:ascii="Cambria Math" w:hAnsi="Arial" w:cs="Arial"/>
                                    <w:sz w:val="28"/>
                                    <w:szCs w:val="28"/>
                                  </w:rPr>
                                </m:ctrlPr>
                              </m:funcPr>
                              <m:fName>
                                <m:r>
                                  <m:rPr>
                                    <m:sty m:val="p"/>
                                  </m:rPr>
                                  <w:rPr>
                                    <w:rFonts w:ascii="Cambria Math" w:hAnsi="Arial" w:cs="Arial"/>
                                    <w:sz w:val="28"/>
                                    <w:szCs w:val="28"/>
                                  </w:rPr>
                                  <m:t>exp</m:t>
                                </m:r>
                              </m:fName>
                              <m:e>
                                <m:d>
                                  <m:dPr>
                                    <m:ctrlPr>
                                      <w:rPr>
                                        <w:rFonts w:ascii="Cambria Math" w:hAnsi="Arial" w:cs="Arial"/>
                                        <w:i/>
                                        <w:sz w:val="28"/>
                                        <w:szCs w:val="28"/>
                                      </w:rPr>
                                    </m:ctrlPr>
                                  </m:dPr>
                                  <m:e>
                                    <m:sSub>
                                      <m:sSubPr>
                                        <m:ctrlPr>
                                          <w:rPr>
                                            <w:rFonts w:ascii="Cambria Math" w:hAnsi="Arial" w:cs="Arial"/>
                                            <w:i/>
                                            <w:sz w:val="28"/>
                                            <w:szCs w:val="28"/>
                                          </w:rPr>
                                        </m:ctrlPr>
                                      </m:sSubPr>
                                      <m:e>
                                        <m:r>
                                          <w:rPr>
                                            <w:rFonts w:ascii="Cambria Math" w:hAnsi="Cambria Math" w:cs="Arial"/>
                                            <w:sz w:val="28"/>
                                            <w:szCs w:val="28"/>
                                          </w:rPr>
                                          <m:t>β</m:t>
                                        </m:r>
                                      </m:e>
                                      <m:sub>
                                        <m:r>
                                          <w:rPr>
                                            <w:rFonts w:ascii="Cambria Math" w:hAnsi="Cambria Math" w:cs="Arial"/>
                                            <w:sz w:val="28"/>
                                            <w:szCs w:val="28"/>
                                          </w:rPr>
                                          <m:t>c</m:t>
                                        </m:r>
                                      </m:sub>
                                    </m:sSub>
                                    <m:sSub>
                                      <m:sSubPr>
                                        <m:ctrlPr>
                                          <w:rPr>
                                            <w:rFonts w:ascii="Cambria Math" w:hAnsi="Arial" w:cs="Arial"/>
                                            <w:i/>
                                            <w:sz w:val="28"/>
                                            <w:szCs w:val="28"/>
                                          </w:rPr>
                                        </m:ctrlPr>
                                      </m:sSubPr>
                                      <m:e>
                                        <m:r>
                                          <w:rPr>
                                            <w:rFonts w:ascii="Cambria Math" w:hAnsi="Cambria Math" w:cs="Arial"/>
                                            <w:sz w:val="28"/>
                                            <w:szCs w:val="28"/>
                                          </w:rPr>
                                          <m:t>X</m:t>
                                        </m:r>
                                      </m:e>
                                      <m:sub>
                                        <m:r>
                                          <w:rPr>
                                            <w:rFonts w:ascii="Cambria Math" w:hAnsi="Cambria Math" w:cs="Arial"/>
                                            <w:sz w:val="28"/>
                                            <w:szCs w:val="28"/>
                                          </w:rPr>
                                          <m:t>in</m:t>
                                        </m:r>
                                      </m:sub>
                                    </m:sSub>
                                  </m:e>
                                </m:d>
                                <m:ctrlPr>
                                  <w:rPr>
                                    <w:rFonts w:ascii="Cambria Math" w:hAnsi="Arial" w:cs="Arial"/>
                                    <w:i/>
                                    <w:sz w:val="28"/>
                                    <w:szCs w:val="28"/>
                                  </w:rPr>
                                </m:ctrlPr>
                              </m:e>
                            </m:func>
                          </m:e>
                        </m:nary>
                      </m:den>
                    </m:f>
                  </m:e>
                </m:d>
              </m:e>
            </m:d>
            <m:r>
              <w:rPr>
                <w:rFonts w:ascii="Cambria Math" w:hAnsi="Arial" w:cs="Arial"/>
                <w:sz w:val="28"/>
                <w:szCs w:val="28"/>
              </w:rPr>
              <m:t xml:space="preserve"> </m:t>
            </m:r>
          </m:e>
        </m:nary>
      </m:oMath>
      <w:r w:rsidR="003F789A" w:rsidRPr="00857048">
        <w:rPr>
          <w:rFonts w:ascii="Arial" w:hAnsi="Arial" w:cs="Arial"/>
          <w:sz w:val="20"/>
          <w:szCs w:val="28"/>
        </w:rPr>
        <w:t xml:space="preserve">   </w:t>
      </w:r>
      <w:r w:rsidR="003F789A" w:rsidRPr="00857048">
        <w:rPr>
          <w:rFonts w:ascii="Arial" w:hAnsi="Arial" w:cs="Arial"/>
          <w:sz w:val="20"/>
          <w:szCs w:val="20"/>
        </w:rPr>
        <w:t xml:space="preserve">       (5)</w:t>
      </w:r>
    </w:p>
    <w:p w:rsidR="003F789A" w:rsidRPr="00857048" w:rsidRDefault="003F789A" w:rsidP="006E4A0D">
      <w:pPr>
        <w:spacing w:after="100" w:afterAutospacing="1" w:line="360" w:lineRule="auto"/>
        <w:rPr>
          <w:rFonts w:cs="Arial"/>
          <w:sz w:val="20"/>
        </w:rPr>
      </w:pPr>
      <w:r w:rsidRPr="00857048">
        <w:rPr>
          <w:rFonts w:cs="Arial"/>
          <w:sz w:val="20"/>
        </w:rPr>
        <w:t xml:space="preserve">Our choice of covariates was based on hypotheses about the potential sources of heterogeneity in landscape preferences. The role of place of residence and familiarity with the landscape in landscape preferences has been often discussed in the literature </w:t>
      </w:r>
      <w:r w:rsidRPr="00857048">
        <w:rPr>
          <w:rFonts w:cs="Arial"/>
          <w:sz w:val="20"/>
        </w:rPr>
        <w:fldChar w:fldCharType="begin" w:fldLock="1"/>
      </w:r>
      <w:r w:rsidRPr="00857048">
        <w:rPr>
          <w:rFonts w:cs="Arial"/>
          <w:sz w:val="20"/>
        </w:rPr>
        <w:instrText>ADDIN CSL_CITATION { "citationItems" : [ { "id" : "ITEM-1", "itemData" : { "DOI" : "10.1080/09640568.2010.502753", "ISSN" : "0964-0568", "abstract" : "The willingness to pay (WTP) for different types of elements and other environmental qualities of the agricultural landscape were investigated by a choice experiment study. To get value measures of a set of attributes as policy relevant as possible, the WTP for 28 levels of 12 attributes was estimated. Two survey versions concerned permanent grassland and two concerned field elements of cultivated land. A sample of 8000 randomly selected Swedish inhabitants was used. The estimated values vary significantly between linear field elements and grassland types, where stone walls and oak-wooded pastures, respectively have the highest marginal WTP. Highly valued environmental qualities are biodiversity, visibility and absence of brushwood. Reference points were included to capture preference heterogeneity. The study cannot reject that respondents may value environmental service levels based on their reference points.", "author" : [ { "dropping-particle" : "", "family" : "Hasund", "given" : "Knut Per", "non-dropping-particle" : "", "parse-names" : false, "suffix" : "" }, { "dropping-particle" : "", "family" : "Kataria", "given" : "Mitesh", "non-dropping-particle" : "", "parse-names" : false, "suffix" : "" }, { "dropping-particle" : "", "family" : "Lagerkvist", "given" : "Carl Johan", "non-dropping-particle" : "", "parse-names" : false, "suffix" : "" } ], "container-title" : "Journal of Environmental Planning and Management", "id" : "ITEM-1", "issue" : "1", "issued" : { "date-parts" : [ [ "2011", "1", "24" ] ] }, "language" : "en", "page" : "31-53", "publisher" : "Routledge", "title" : "Valuing public goods of the agricultural landscape: a choice experiment using reference points to capture observable heterogeneity", "type" : "article-journal", "volume" : "54" }, "uris" : [ "http://www.mendeley.com/documents/?uuid=168927d8-9507-49fe-b7ed-6b010ea834a3" ] }, { "id" : "ITEM-2", "itemData" : { "DOI" : "http://dx.doi.org/10.1016/j.landurbplan.2005.11.006", "ISSN" : "0169-2046", "abstract" : "The present research investigated visual preferences for nature development landscapes among 500 residents from six plan areas in The Netherlands. Significant differences in relative preferences for wild versus managed scenes were found between landscape types and respondent groups. Development of wild nature was evaluated less positively in a forested area than in more open, rural areas. Among the background variables included in the study, place of residence, age, socio-economic status, farming background, preference for green political parties, and recreational motives were found to be systematically related to relative preferences for wild versus managed nature scenes, accounting for 16% of the variance in preference ratings. These findings are discussed within an applied decision making context in The Netherlands.", "author" : [ { "dropping-particle" : "", "family" : "Berg", "given" : "Agnes E", "non-dropping-particle" : "Van den", "parse-names" : false, "suffix" : "" }, { "dropping-particle" : "", "family" : "Koole", "given" : "Sander L", "non-dropping-particle" : "", "parse-names" : false, "suffix" : "" } ], "container-title" : "Landscape and Urban Planning", "id" : "ITEM-2", "issue" : "4", "issued" : { "date-parts" : [ [ "2006", "11", "28" ] ] }, "page" : "362-372", "title" : "New wilderness in the Netherlands: An investigation of visual preferences for nature development landscapes", "type" : "article-journal", "volume" : "78" }, "uris" : [ "http://www.mendeley.com/documents/?uuid=0f8d84b1-fe81-4061-bb57-c2e10783f0d5" ] } ], "mendeley" : { "formattedCitation" : "(Hasund et al., 2011; Van den Berg and Koole, 2006)", "manualFormatting" : "(e.g. Hasund, Kataria, &amp; Lagerkvist, 2011; Van den Berg &amp; Koole, 2006)", "plainTextFormattedCitation" : "(Hasund et al., 2011; Van den Berg and Koole, 2006)", "previouslyFormattedCitation" : "(Hasund et al., 2011; Van den Berg and Koole, 2006)" }, "properties" : { "noteIndex" : 0 }, "schema" : "https://github.com/citation-style-language/schema/raw/master/csl-citation.json" }</w:instrText>
      </w:r>
      <w:r w:rsidRPr="00857048">
        <w:rPr>
          <w:rFonts w:cs="Arial"/>
          <w:sz w:val="20"/>
        </w:rPr>
        <w:fldChar w:fldCharType="separate"/>
      </w:r>
      <w:r w:rsidRPr="00857048">
        <w:rPr>
          <w:rFonts w:cs="Arial"/>
          <w:noProof/>
          <w:sz w:val="20"/>
        </w:rPr>
        <w:t>(e.g. Hasund, Kataria, &amp; Lagerkvist, 2011; Van den Berg &amp; Koole, 2006)</w:t>
      </w:r>
      <w:r w:rsidRPr="00857048">
        <w:rPr>
          <w:rFonts w:cs="Arial"/>
          <w:sz w:val="20"/>
        </w:rPr>
        <w:fldChar w:fldCharType="end"/>
      </w:r>
      <w:r w:rsidRPr="00857048">
        <w:rPr>
          <w:rFonts w:cs="Arial"/>
          <w:sz w:val="20"/>
        </w:rPr>
        <w:t xml:space="preserve">. We therefore distinguished between urban and rural residents and included a variable that indicated whether people grew up in East Lothian and whether they went for recreation in the East Lothian countryside . In addition we included age, which has also been correlated with resistance to change in the landscape </w:t>
      </w:r>
      <w:r w:rsidRPr="00857048">
        <w:rPr>
          <w:rFonts w:cs="Arial"/>
          <w:sz w:val="20"/>
        </w:rPr>
        <w:fldChar w:fldCharType="begin" w:fldLock="1"/>
      </w:r>
      <w:r w:rsidRPr="00857048">
        <w:rPr>
          <w:rFonts w:cs="Arial"/>
          <w:sz w:val="20"/>
        </w:rPr>
        <w:instrText>ADDIN CSL_CITATION { "citationItems" : [ { "id" : "ITEM-1", "itemData" : { "DOI" : "http://dx.doi.org/10.1016/j.landurbplan.2005.11.006", "ISSN" : "0169-2046", "abstract" : "The present research investigated visual preferences for nature development landscapes among 500 residents from six plan areas in The Netherlands. Significant differences in relative preferences for wild versus managed scenes were found between landscape types and respondent groups. Development of wild nature was evaluated less positively in a forested area than in more open, rural areas. Among the background variables included in the study, place of residence, age, socio-economic status, farming background, preference for green political parties, and recreational motives were found to be systematically related to relative preferences for wild versus managed nature scenes, accounting for 16% of the variance in preference ratings. These findings are discussed within an applied decision making context in The Netherlands.", "author" : [ { "dropping-particle" : "", "family" : "Berg", "given" : "Agnes E", "non-dropping-particle" : "Van den", "parse-names" : false, "suffix" : "" }, { "dropping-particle" : "", "family" : "Koole", "given" : "Sander L", "non-dropping-particle" : "", "parse-names" : false, "suffix" : "" } ], "container-title" : "Landscape and Urban Planning", "id" : "ITEM-1", "issue" : "4", "issued" : { "date-parts" : [ [ "2006", "11", "28" ] ] }, "page" : "362-372", "title" : "New wilderness in the Netherlands: An investigation of visual preferences for nature development landscapes", "type" : "article-journal", "volume" : "78" }, "uris" : [ "http://www.mendeley.com/documents/?uuid=0f8d84b1-fe81-4061-bb57-c2e10783f0d5" ] } ], "mendeley" : { "formattedCitation" : "(Van den Berg and Koole, 2006)", "plainTextFormattedCitation" : "(Van den Berg and Koole, 2006)", "previouslyFormattedCitation" : "(Van den Berg and Koole, 2006)" }, "properties" : { "noteIndex" : 0 }, "schema" : "https://github.com/citation-style-language/schema/raw/master/csl-citation.json" }</w:instrText>
      </w:r>
      <w:r w:rsidRPr="00857048">
        <w:rPr>
          <w:rFonts w:cs="Arial"/>
          <w:sz w:val="20"/>
        </w:rPr>
        <w:fldChar w:fldCharType="separate"/>
      </w:r>
      <w:r w:rsidRPr="00857048">
        <w:rPr>
          <w:rFonts w:cs="Arial"/>
          <w:noProof/>
          <w:sz w:val="20"/>
        </w:rPr>
        <w:t>(Van den Berg and Koole, 2006)</w:t>
      </w:r>
      <w:r w:rsidRPr="00857048">
        <w:rPr>
          <w:rFonts w:cs="Arial"/>
          <w:sz w:val="20"/>
        </w:rPr>
        <w:fldChar w:fldCharType="end"/>
      </w:r>
      <w:r w:rsidRPr="00857048">
        <w:rPr>
          <w:rFonts w:cs="Arial"/>
          <w:sz w:val="20"/>
        </w:rPr>
        <w:t xml:space="preserve">. </w:t>
      </w:r>
    </w:p>
    <w:p w:rsidR="003F789A" w:rsidRPr="00857048" w:rsidRDefault="003F789A" w:rsidP="006E4A0D">
      <w:pPr>
        <w:spacing w:after="100" w:afterAutospacing="1" w:line="360" w:lineRule="auto"/>
        <w:rPr>
          <w:rFonts w:cs="Arial"/>
          <w:sz w:val="20"/>
        </w:rPr>
      </w:pPr>
      <w:r w:rsidRPr="00857048">
        <w:rPr>
          <w:rFonts w:cs="Arial"/>
          <w:sz w:val="20"/>
        </w:rPr>
        <w:t xml:space="preserve">We also included the functions of the landscape people assign most importance to, i.e. the </w:t>
      </w:r>
      <w:r>
        <w:rPr>
          <w:rFonts w:cs="Arial"/>
          <w:sz w:val="20"/>
        </w:rPr>
        <w:t>ES</w:t>
      </w:r>
      <w:r w:rsidRPr="00857048">
        <w:rPr>
          <w:rFonts w:cs="Arial"/>
          <w:sz w:val="20"/>
        </w:rPr>
        <w:t xml:space="preserve">s, as these may influence the choice of particular woodland attributes. Shelterbelts are often associated with cultural heritage in rural landscapes </w:t>
      </w:r>
      <w:r w:rsidRPr="00857048">
        <w:rPr>
          <w:rFonts w:cs="Arial"/>
          <w:sz w:val="20"/>
        </w:rPr>
        <w:fldChar w:fldCharType="begin" w:fldLock="1"/>
      </w:r>
      <w:r w:rsidRPr="00857048">
        <w:rPr>
          <w:rFonts w:cs="Arial"/>
          <w:sz w:val="20"/>
        </w:rPr>
        <w:instrText>ADDIN CSL_CITATION { "citationItems" : [ { "id" : "ITEM-1", "itemData" : { "DOI" : "10.1006/jema.2000.0365", "ISSN" : "03014797", "abstract" : "This paper investigates the cultural dimensions of hedged landscapes and their implications for managing future hedged landscapes, through the collection and exploration of different stakeholder perspectives. The aim of the research was to obtain a holistic view of peoples relationship with hedgerows and each other. This was done using a systemic inquiry process based on grounded theory that involved drawing theories out of multiple data sources to consider the perspectives of various groups of people (farmers, the public and professional advisors). A computer database package was used that allowed the categorisation of the respondents\u2019 perspectives as the data was being added to the database. Hedgerows were viewed by all the participants as part of the English cultural landscape. They were not just a means for conserving biodiversity in the countryside but part of England\u2019s history and national identity. They were appreciated for providing signs of the changing seasons; for the way they break up the landscape; for their sense of mystery and intimacy; for their connections with the past and childhood memories; and for their contribution to a sense of place. Although there was a high degree of commonality in the way the different groups viewed hedgerows in the landscape, differences were found in relation to management practices and their implications for the hedgerow wildlife and aesthetics. It is argued that although differences in views are frequently acknowledged, little consideration has been given to these aspects, especially the importance all groups place on the aesthetic appreciation of landscapes, within existing hedgerow protection policies. The analysis reveals a wide divide between expert and lay persons\u2019 appreciation of landscape. It concludes that participation of all stakeholder perspectives, on an equal basis, can lead to more holistic landscape research, policy and decision-making processes that take account of the less measurable aspects of landscape.", "author" : [ { "dropping-particle" : "", "family" : "Oreszczyn", "given" : "S", "non-dropping-particle" : "", "parse-names" : false, "suffix" : "" }, { "dropping-particle" : "", "family" : "Lane", "given" : "A", "non-dropping-particle" : "", "parse-names" : false, "suffix" : "" } ], "container-title" : "Journal of Environmental Management", "id" : "ITEM-1", "issue" : "1", "issued" : { "date-parts" : [ [ "2000", "9" ] ] }, "page" : "101-118", "title" : "The meaning of hedgerows in the English landscape: Different stakeholder perspectives and the implications for future hedge management", "type" : "article-journal", "volume" : "60" }, "uris" : [ "http://www.mendeley.com/documents/?uuid=490c79c5-cb5e-4d1b-aa01-982773143a34" ] }, { "id" : "ITEM-2", "itemData" : { "DOI" : "10.1006/jema.2000.0357", "ISSN" : "03014797", "author" : [ { "dropping-particle" : "", "family" : "McCollin", "given" : "D.", "non-dropping-particle" : "", "parse-names" : false, "suffix" : "" } ], "container-title" : "Journal of Environmental Management", "id" : "ITEM-2", "issue" : "1", "issued" : { "date-parts" : [ [ "2000", "9" ] ] }, "page" : "3-6", "title" : "Editorial: Hedgerow policy and protection\u2014changing paradigms and the conservation ethic", "type" : "article-journal", "volume" : "60" }, "uris" : [ "http://www.mendeley.com/documents/?uuid=c5be2a22-135e-4aea-8a0a-c32a37883bee" ] } ], "mendeley" : { "formattedCitation" : "(McCollin, 2000; Oreszczyn and Lane, 2000)", "plainTextFormattedCitation" : "(McCollin, 2000; Oreszczyn and Lane, 2000)", "previouslyFormattedCitation" : "(McCollin, 2000; Oreszczyn and Lane, 2000)" }, "properties" : { "noteIndex" : 0 }, "schema" : "https://github.com/citation-style-language/schema/raw/master/csl-citation.json" }</w:instrText>
      </w:r>
      <w:r w:rsidRPr="00857048">
        <w:rPr>
          <w:rFonts w:cs="Arial"/>
          <w:sz w:val="20"/>
        </w:rPr>
        <w:fldChar w:fldCharType="separate"/>
      </w:r>
      <w:r w:rsidRPr="00857048">
        <w:rPr>
          <w:rFonts w:cs="Arial"/>
          <w:noProof/>
          <w:sz w:val="20"/>
        </w:rPr>
        <w:t>(McCollin, 2000; Oreszczyn and Lane, 2000)</w:t>
      </w:r>
      <w:r w:rsidRPr="00857048">
        <w:rPr>
          <w:rFonts w:cs="Arial"/>
          <w:sz w:val="20"/>
        </w:rPr>
        <w:fldChar w:fldCharType="end"/>
      </w:r>
      <w:r w:rsidRPr="00857048">
        <w:rPr>
          <w:rFonts w:cs="Arial"/>
          <w:sz w:val="20"/>
        </w:rPr>
        <w:t xml:space="preserve">. Furthermore, biodiversity is often associated with the perceived naturalness of forests </w:t>
      </w:r>
      <w:r w:rsidRPr="00857048">
        <w:rPr>
          <w:rFonts w:cs="Arial"/>
          <w:sz w:val="20"/>
        </w:rPr>
        <w:fldChar w:fldCharType="begin" w:fldLock="1"/>
      </w:r>
      <w:r w:rsidRPr="00857048">
        <w:rPr>
          <w:rFonts w:cs="Arial"/>
          <w:sz w:val="20"/>
        </w:rPr>
        <w:instrText>ADDIN CSL_CITATION { "citationItems" : [ { "id" : "ITEM-1", "itemData" : { "DOI" : "10.1016/j.gecco.2014.07.003", "ISSN" : "23519894", "abstract" : "Valuation studies about environmental goods, e.g.\u00a0biodiversity, often use characteristics and indicators that seem ecologically sound. But ecological value and public value are not necessarily the same. Therefore, combining ecological indicators with public knowledge and language in framing valuation studies may improve the consistency of outcomes. Using both qualitative and quantitative methods, we investigated lay people\u2019s mental constructs about biodiversity and attitudes to biodiversity management. Applying a coding strategy for analysing data from individual interviews and group discussions revealed that \u2018diversity of animals and plants\u2019, \u2018natural appearance and dynamics of ecosystem\u2019, and \u2018peace and quietness\u2019 were the attributes of forest ecosystems most frequently mentioned by lay people. In addition, it was found that regardless of familiarity with the various ecological scientific terminologies, lay people had an intuitive understanding of ecological concepts such as biodiversity. The analyses demonstrated that individuals\u2019 perceptions and values of biodiversity could be framed in two interlinking categories: (i) as a good in itself, and (ii) its regulatory function. It was also revealed that individuals\u2019 attitudes towards forests and their biodiversity may be rooted in their mental constructs and can be useful in targeting policy and conservation management.", "author" : [ { "dropping-particle" : "", "family" : "Bakhtiari", "given" : "Fatemeh", "non-dropping-particle" : "", "parse-names" : false, "suffix" : "" }, { "dropping-particle" : "", "family" : "Jacobsen", "given" : "Jette Bredahl", "non-dropping-particle" : "", "parse-names" : false, "suffix" : "" }, { "dropping-particle" : "", "family" : "Strange", "given" : "Niels", "non-dropping-particle" : "", "parse-names" : false, "suffix" : "" }, { "dropping-particle" : "", "family" : "Helles", "given" : "Finn", "non-dropping-particle" : "", "parse-names" : false, "suffix" : "" } ], "container-title" : "Global Ecology and Conservation", "id" : "ITEM-1", "issued" : { "date-parts" : [ [ "2014", "8" ] ] }, "page" : "27-42", "title" : "Revealing lay people\u2019s perceptions of forest biodiversity value components and their application in valuation method", "type" : "article-journal", "volume" : "1" }, "uris" : [ "http://www.mendeley.com/documents/?uuid=9cff66ae-10e0-45c1-a8a1-2f24d8a078f9" ] }, { "id" : "ITEM-2", "itemData" : { "DOI" : "10.1016/j.ecolind.2008.11.008", "ISSN" : "1470160X", "abstract" : "This paper explores the conceptual common ground between visual and ecological landscape indicators. Indicators can be used to summarise complex information about landscape functions and the ability to extract a common set of indicators for analysing different landscape functions may provide valuable support for multiple-use planning. The development of landscape ecological indicators has been a very active research field that has resulted in a wide range of landscape metrics and composite indices with a strong conceptual base in landscape ecological principles. For the visual aspects of landscapes, however, this conceptual base is often missing and thus hindering progress in the development of indicators. This paper presents the results of an analysis of the correspondence between ecological indicators and visual indicators in order to explore whether there is common ground in both concept and operation. The conceptual level is presented for both ecological and visual indicators, as it is the concepts that define their aim and scope. We feel that transparency over this issue is crucial to the development and use of environmental indicators. The approach identified a candidate set of indicators that capture important aspects of both ecological and visual quality. The strength of the approach is that it forces us to focus on the identification of what we wish to indicate by means of landscape theory and assessment that are relevant to a specific landscape context. We believe that the approach presented here forms the basis for development of new methods for understanding the impact of landscape change in a management and planning context.", "author" : [ { "dropping-particle" : "", "family" : "Fry", "given" : "G.", "non-dropping-particle" : "", "parse-names" : false, "suffix" : "" }, { "dropping-particle" : "", "family" : "Tveit", "given" : "M.S.", "non-dropping-particle" : "", "parse-names" : false, "suffix" : "" }, { "dropping-particle" : "", "family" : "Ode", "given" : "\u00c5.", "non-dropping-particle" : "", "parse-names" : false, "suffix" : "" }, { "dropping-particle" : "", "family" : "Velarde", "given" : "M.D.", "non-dropping-particle" : "", "parse-names" : false, "suffix" : "" } ], "container-title" : "Ecological Indicators", "id" : "ITEM-2", "issue" : "5", "issued" : { "date-parts" : [ [ "2009", "9" ] ] }, "page" : "933-947", "title" : "The ecology of visual landscapes: Exploring the conceptual common ground of visual and ecological landscape indicators", "type" : "article-journal", "volume" : "9" }, "uris" : [ "http://www.mendeley.com/documents/?uuid=14a51119-80ce-4c7d-bc09-7560ba3214cf" ] } ], "mendeley" : { "formattedCitation" : "(Bakhtiari et al., 2014; Fry et al., 2009)", "plainTextFormattedCitation" : "(Bakhtiari et al., 2014; Fry et al., 2009)", "previouslyFormattedCitation" : "(Bakhtiari et al., 2014; Fry et al., 2009)" }, "properties" : { "noteIndex" : 0 }, "schema" : "https://github.com/citation-style-language/schema/raw/master/csl-citation.json" }</w:instrText>
      </w:r>
      <w:r w:rsidRPr="00857048">
        <w:rPr>
          <w:rFonts w:cs="Arial"/>
          <w:sz w:val="20"/>
        </w:rPr>
        <w:fldChar w:fldCharType="separate"/>
      </w:r>
      <w:r w:rsidRPr="00857048">
        <w:rPr>
          <w:rFonts w:cs="Arial"/>
          <w:noProof/>
          <w:sz w:val="20"/>
        </w:rPr>
        <w:t>(Bakhtiari et al., 2014; Fry et al., 2009)</w:t>
      </w:r>
      <w:r w:rsidRPr="00857048">
        <w:rPr>
          <w:rFonts w:cs="Arial"/>
          <w:sz w:val="20"/>
        </w:rPr>
        <w:fldChar w:fldCharType="end"/>
      </w:r>
      <w:r w:rsidRPr="00857048">
        <w:rPr>
          <w:rFonts w:cs="Arial"/>
          <w:sz w:val="20"/>
        </w:rPr>
        <w:t>.Thus, we hypothesized that respondents with high values for biodiversity would have preferences for alternatives with high levels of broadleaved forest instead of softwood plantations. We therefore chose to include a variable indicating whether respondents assigned importance to biodiversity or whether respondents think maintaining the traditional character of the landscape is an important function of the East Lothian countryside.</w:t>
      </w:r>
    </w:p>
    <w:p w:rsidR="003F789A" w:rsidRPr="00857048" w:rsidRDefault="003F789A" w:rsidP="006E4A0D">
      <w:pPr>
        <w:spacing w:after="100" w:afterAutospacing="1" w:line="360" w:lineRule="auto"/>
        <w:rPr>
          <w:rFonts w:cs="Arial"/>
          <w:sz w:val="20"/>
        </w:rPr>
      </w:pPr>
      <w:r w:rsidRPr="00857048">
        <w:rPr>
          <w:rFonts w:cs="Arial"/>
          <w:sz w:val="20"/>
        </w:rPr>
        <w:t xml:space="preserve">All choice models were estimated using NLOGIT 4 (Econometric Software, Inc. www.nlogit.com).  We dummy coded all the environmental compensation variables, entering these into the utility function while keeping the lowest level  as a reference category. We specified a separate utility function for the status quo option, which included an alternative specific constant (ASC) to capture potential status-quo effects. </w:t>
      </w:r>
    </w:p>
    <w:p w:rsidR="003F789A" w:rsidRPr="006D566F" w:rsidRDefault="003F789A" w:rsidP="006D566F">
      <w:pPr>
        <w:pStyle w:val="ListParagraph"/>
        <w:ind w:left="0"/>
        <w:jc w:val="both"/>
        <w:rPr>
          <w:rFonts w:ascii="Arial" w:hAnsi="Arial" w:cs="Arial"/>
          <w:b/>
          <w:i/>
          <w:sz w:val="20"/>
          <w:szCs w:val="20"/>
        </w:rPr>
      </w:pPr>
      <w:r w:rsidRPr="006D566F">
        <w:rPr>
          <w:rFonts w:ascii="Arial" w:hAnsi="Arial" w:cs="Arial"/>
          <w:b/>
          <w:i/>
          <w:sz w:val="20"/>
          <w:szCs w:val="20"/>
        </w:rPr>
        <w:lastRenderedPageBreak/>
        <w:t xml:space="preserve"> Marginal rate of substitution between housing and environmental compensation</w:t>
      </w:r>
    </w:p>
    <w:p w:rsidR="003F789A" w:rsidRPr="00857048" w:rsidRDefault="003F789A" w:rsidP="006E4A0D">
      <w:pPr>
        <w:spacing w:after="100" w:afterAutospacing="1" w:line="360" w:lineRule="auto"/>
        <w:rPr>
          <w:rFonts w:cs="Arial"/>
          <w:sz w:val="20"/>
        </w:rPr>
      </w:pPr>
      <w:r w:rsidRPr="00857048">
        <w:rPr>
          <w:rFonts w:cs="Arial"/>
          <w:sz w:val="20"/>
        </w:rPr>
        <w:t>To gain more insight into the extent to which people would be willing to offset housing with environmental compensation, we calculated the marginal rate of substitution (MRS) between housing and all the landscape attributes as follows:</w:t>
      </w:r>
    </w:p>
    <w:p w:rsidR="003F789A" w:rsidRPr="00857048" w:rsidRDefault="008C4819" w:rsidP="00857048">
      <w:pPr>
        <w:spacing w:after="100" w:afterAutospacing="1" w:line="360" w:lineRule="auto"/>
        <w:jc w:val="center"/>
        <w:rPr>
          <w:rFonts w:cs="Arial"/>
          <w:sz w:val="20"/>
        </w:rPr>
      </w:pPr>
      <m:oMath>
        <m:sSub>
          <m:sSubPr>
            <m:ctrlPr>
              <w:rPr>
                <w:rFonts w:ascii="Cambria Math" w:cs="Arial"/>
                <w:i/>
                <w:sz w:val="24"/>
                <w:szCs w:val="24"/>
              </w:rPr>
            </m:ctrlPr>
          </m:sSubPr>
          <m:e>
            <m:r>
              <w:rPr>
                <w:rFonts w:ascii="Cambria Math" w:hAnsi="Cambria Math" w:cs="Arial"/>
                <w:sz w:val="24"/>
                <w:szCs w:val="24"/>
              </w:rPr>
              <m:t>MRS</m:t>
            </m:r>
          </m:e>
          <m:sub>
            <m:r>
              <w:rPr>
                <w:rFonts w:ascii="Cambria Math" w:hAnsi="Cambria Math" w:cs="Arial"/>
                <w:sz w:val="24"/>
                <w:szCs w:val="24"/>
              </w:rPr>
              <m:t>k</m:t>
            </m:r>
          </m:sub>
        </m:sSub>
        <m:r>
          <w:rPr>
            <w:rFonts w:ascii="Cambria Math" w:cs="Arial"/>
            <w:sz w:val="24"/>
            <w:szCs w:val="24"/>
          </w:rPr>
          <m:t xml:space="preserve">= </m:t>
        </m:r>
        <m:r>
          <w:rPr>
            <w:rFonts w:ascii="Cambria Math" w:cs="Arial"/>
            <w:sz w:val="24"/>
            <w:szCs w:val="24"/>
          </w:rPr>
          <m:t>-</m:t>
        </m:r>
        <m:r>
          <w:rPr>
            <w:rFonts w:ascii="Cambria Math" w:cs="Arial"/>
            <w:sz w:val="24"/>
            <w:szCs w:val="24"/>
          </w:rPr>
          <m:t xml:space="preserve"> </m:t>
        </m:r>
        <m:f>
          <m:fPr>
            <m:ctrlPr>
              <w:rPr>
                <w:rFonts w:ascii="Cambria Math" w:cs="Arial"/>
                <w:i/>
                <w:sz w:val="24"/>
                <w:szCs w:val="24"/>
              </w:rPr>
            </m:ctrlPr>
          </m:fPr>
          <m:num>
            <m:sSub>
              <m:sSubPr>
                <m:ctrlPr>
                  <w:rPr>
                    <w:rFonts w:asci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num>
          <m:den>
            <m:sSub>
              <m:sSubPr>
                <m:ctrlPr>
                  <w:rPr>
                    <w:rFonts w:ascii="Cambria Math" w:cs="Arial"/>
                    <w:i/>
                    <w:sz w:val="24"/>
                    <w:szCs w:val="24"/>
                  </w:rPr>
                </m:ctrlPr>
              </m:sSubPr>
              <m:e>
                <m:r>
                  <w:rPr>
                    <w:rFonts w:ascii="Cambria Math" w:hAnsi="Cambria Math" w:cs="Arial"/>
                    <w:sz w:val="24"/>
                    <w:szCs w:val="24"/>
                  </w:rPr>
                  <m:t>β</m:t>
                </m:r>
              </m:e>
              <m:sub>
                <m:r>
                  <w:rPr>
                    <w:rFonts w:ascii="Cambria Math" w:hAnsi="Cambria Math" w:cs="Arial"/>
                    <w:sz w:val="24"/>
                    <w:szCs w:val="24"/>
                  </w:rPr>
                  <m:t>h</m:t>
                </m:r>
              </m:sub>
            </m:sSub>
          </m:den>
        </m:f>
      </m:oMath>
      <w:r w:rsidR="003F789A" w:rsidRPr="00857048">
        <w:rPr>
          <w:rFonts w:cs="Arial"/>
          <w:sz w:val="20"/>
          <w:szCs w:val="24"/>
        </w:rPr>
        <w:t xml:space="preserve">     </w:t>
      </w:r>
      <w:r w:rsidR="003F789A" w:rsidRPr="00857048">
        <w:rPr>
          <w:rFonts w:cs="Arial"/>
          <w:sz w:val="20"/>
        </w:rPr>
        <w:t xml:space="preserve">                                                             (6)</w:t>
      </w:r>
    </w:p>
    <w:p w:rsidR="003F789A" w:rsidRPr="00857048" w:rsidRDefault="003F789A" w:rsidP="006E4A0D">
      <w:pPr>
        <w:spacing w:after="0" w:line="360" w:lineRule="auto"/>
        <w:rPr>
          <w:rFonts w:cs="Arial"/>
          <w:sz w:val="20"/>
        </w:rPr>
      </w:pPr>
      <w:proofErr w:type="gramStart"/>
      <w:r w:rsidRPr="00857048">
        <w:rPr>
          <w:rFonts w:cs="Arial"/>
          <w:sz w:val="20"/>
        </w:rPr>
        <w:t>where</w:t>
      </w:r>
      <w:proofErr w:type="gramEnd"/>
      <w:r w:rsidRPr="00857048">
        <w:rPr>
          <w:rFonts w:cs="Arial"/>
          <w:sz w:val="20"/>
        </w:rPr>
        <w:t xml:space="preserve"> </w:t>
      </w:r>
      <m:oMath>
        <m:sSub>
          <m:sSubPr>
            <m:ctrlPr>
              <w:rPr>
                <w:rFonts w:ascii="Cambria Math" w:cs="Arial"/>
                <w:i/>
                <w:sz w:val="20"/>
              </w:rPr>
            </m:ctrlPr>
          </m:sSubPr>
          <m:e>
            <m:r>
              <w:rPr>
                <w:rFonts w:ascii="Cambria Math" w:hAnsi="Cambria Math" w:cs="Arial"/>
                <w:sz w:val="20"/>
              </w:rPr>
              <m:t>β</m:t>
            </m:r>
          </m:e>
          <m:sub>
            <m:r>
              <w:rPr>
                <w:rFonts w:ascii="Cambria Math" w:hAnsi="Cambria Math" w:cs="Arial"/>
                <w:sz w:val="20"/>
              </w:rPr>
              <m:t>k</m:t>
            </m:r>
          </m:sub>
        </m:sSub>
      </m:oMath>
      <w:r w:rsidRPr="00857048">
        <w:rPr>
          <w:rFonts w:cs="Arial"/>
          <w:sz w:val="20"/>
        </w:rPr>
        <w:t xml:space="preserve"> is the utility coefficient of the landscape attributes, representing the marginal utility of  an environmental compensation measure, and </w:t>
      </w:r>
      <m:oMath>
        <m:sSub>
          <m:sSubPr>
            <m:ctrlPr>
              <w:rPr>
                <w:rFonts w:ascii="Cambria Math" w:cs="Arial"/>
                <w:i/>
                <w:sz w:val="20"/>
              </w:rPr>
            </m:ctrlPr>
          </m:sSubPr>
          <m:e>
            <m:r>
              <w:rPr>
                <w:rFonts w:ascii="Cambria Math" w:hAnsi="Cambria Math" w:cs="Arial"/>
                <w:sz w:val="20"/>
              </w:rPr>
              <m:t>β</m:t>
            </m:r>
          </m:e>
          <m:sub>
            <m:r>
              <w:rPr>
                <w:rFonts w:ascii="Cambria Math" w:hAnsi="Cambria Math" w:cs="Arial"/>
                <w:sz w:val="20"/>
              </w:rPr>
              <m:t>h</m:t>
            </m:r>
          </m:sub>
        </m:sSub>
      </m:oMath>
      <w:r w:rsidRPr="00857048">
        <w:rPr>
          <w:rFonts w:cs="Arial"/>
          <w:sz w:val="20"/>
        </w:rPr>
        <w:t xml:space="preserve"> is the utility coefficient of the housing attribute, representing the marginal utility of additional housing in East Lothian. The consequent MRS can be interpreted as the amount of houses people are willing to ‘pay’, i.e. allow in the area, for a change in any of the landscape attributes. </w:t>
      </w:r>
    </w:p>
    <w:p w:rsidR="003F789A" w:rsidRPr="00857048" w:rsidRDefault="003F789A" w:rsidP="00857048">
      <w:pPr>
        <w:spacing w:after="100" w:afterAutospacing="1" w:line="360" w:lineRule="auto"/>
        <w:rPr>
          <w:rFonts w:cs="Arial"/>
          <w:sz w:val="20"/>
        </w:rPr>
      </w:pPr>
      <w:r w:rsidRPr="00857048">
        <w:rPr>
          <w:rFonts w:cs="Arial"/>
          <w:sz w:val="20"/>
        </w:rPr>
        <w:t>Figure 2. Choice card examples</w:t>
      </w:r>
      <w:r w:rsidR="008C4819">
        <w:rPr>
          <w:noProof/>
          <w:lang w:val="en-IE" w:eastAsia="en-IE"/>
        </w:rPr>
        <w:drawing>
          <wp:anchor distT="0" distB="0" distL="114300" distR="114300" simplePos="0" relativeHeight="251659264" behindDoc="0" locked="0" layoutInCell="1" allowOverlap="1">
            <wp:simplePos x="0" y="0"/>
            <wp:positionH relativeFrom="column">
              <wp:posOffset>16510</wp:posOffset>
            </wp:positionH>
            <wp:positionV relativeFrom="paragraph">
              <wp:posOffset>290830</wp:posOffset>
            </wp:positionV>
            <wp:extent cx="5760720" cy="1423670"/>
            <wp:effectExtent l="0" t="0" r="0" b="5080"/>
            <wp:wrapSquare wrapText="bothSides"/>
            <wp:docPr id="10" name="Picture 0"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23670"/>
                    </a:xfrm>
                    <a:prstGeom prst="rect">
                      <a:avLst/>
                    </a:prstGeom>
                    <a:noFill/>
                  </pic:spPr>
                </pic:pic>
              </a:graphicData>
            </a:graphic>
            <wp14:sizeRelH relativeFrom="page">
              <wp14:pctWidth>0</wp14:pctWidth>
            </wp14:sizeRelH>
            <wp14:sizeRelV relativeFrom="page">
              <wp14:pctHeight>0</wp14:pctHeight>
            </wp14:sizeRelV>
          </wp:anchor>
        </w:drawing>
      </w:r>
    </w:p>
    <w:p w:rsidR="003F789A" w:rsidRPr="006D566F" w:rsidRDefault="003F789A" w:rsidP="006D566F">
      <w:pPr>
        <w:spacing w:after="0" w:line="360" w:lineRule="auto"/>
        <w:rPr>
          <w:rFonts w:cs="Arial"/>
          <w:b/>
          <w:i/>
          <w:sz w:val="20"/>
        </w:rPr>
      </w:pPr>
      <w:r w:rsidRPr="006D566F">
        <w:rPr>
          <w:rFonts w:cs="Arial"/>
          <w:b/>
          <w:i/>
          <w:sz w:val="20"/>
        </w:rPr>
        <w:t>Visualizations</w:t>
      </w:r>
    </w:p>
    <w:p w:rsidR="003F789A" w:rsidRPr="00857048" w:rsidRDefault="003F789A" w:rsidP="006E4A0D">
      <w:pPr>
        <w:spacing w:after="100" w:afterAutospacing="1" w:line="360" w:lineRule="auto"/>
        <w:rPr>
          <w:rFonts w:cs="Arial"/>
          <w:sz w:val="20"/>
        </w:rPr>
      </w:pPr>
      <w:r w:rsidRPr="00857048">
        <w:rPr>
          <w:rFonts w:cs="Arial"/>
          <w:sz w:val="20"/>
        </w:rPr>
        <w:t xml:space="preserve">The pilot study revealed that the initial set-up of the choice experiment, where woodland attribute levels were communicated in terms of hectares and meters, was too abstract for people to process. Instead, we chose to add visualizations to the choice sets, which is not uncommon in choice experiment studies </w:t>
      </w:r>
      <w:r w:rsidRPr="00857048">
        <w:rPr>
          <w:rFonts w:cs="Arial"/>
          <w:sz w:val="20"/>
        </w:rPr>
        <w:fldChar w:fldCharType="begin" w:fldLock="1"/>
      </w:r>
      <w:r w:rsidRPr="00857048">
        <w:rPr>
          <w:rFonts w:cs="Arial"/>
          <w:sz w:val="20"/>
        </w:rPr>
        <w:instrText>ADDIN CSL_CITATION { "citationItems" : [ { "id" : "ITEM-1", "itemData" : { "DOI" : "10.1016/j.landurbplan.2007.05.013", "ISSN" : "01692046", "abstract" : "In this article we discuss the economic approach to evaluate landscape preferences for land-use planning. We then use the choice experiment method to examine public preferences for three landscape features \u2013 hedgerows, farm buildings and scrubland \u2013 in the Monts d\u2019Arr\u00e9e region (in Brittany, France), in the context of re-design of landscape conservation policy by the local environmental institute. Surveys were undertaken on two user groups, visitors and local residents. Our objective was to obtain empirical evidence of the difference between the preferences of tourists and residents, for landscape attributes. We then analysed the welfare changes of tourists and residents affected by different landscape programmes. Our results point out the strong divergence between the landscape preferences of the public and those of local public actors. The comparison of the estimated values of willingness to pay for single-attribute landscaping action shows some divergence between residents\u2019 and tourists\u2019 ranking of preferences for agricultural landscape areas. Finally, we find, at least for the socio-economic context examined in this study, that apart from its social, cultural and aesthetic values, rural landscape has economic values, and that agricultural landscape preservation tends to be more beneficial to low-income social groups.", "author" : [ { "dropping-particle" : "", "family" : "Rambonilaza", "given" : "Mbolatiana", "non-dropping-particle" : "", "parse-names" : false, "suffix" : "" }, { "dropping-particle" : "", "family" : "Dachary-Bernard", "given" : "Jeanne", "non-dropping-particle" : "", "parse-names" : false, "suffix" : "" } ], "container-title" : "Landscape and Urban Planning", "id" : "ITEM-1", "issue" : "4", "issued" : { "date-parts" : [ [ "2007", "12" ] ] }, "page" : "318-326", "title" : "Land-use planning and public preferences: What can we learn from choice experiment method?", "type" : "article-journal", "volume" : "83" }, "uris" : [ "http://www.mendeley.com/documents/?uuid=fce16e84-2310-4ec0-b906-2f7f6dc3594c" ] }, { "id" : "ITEM-2", "itemData" : { "DOI" : "http://dx.doi.org/10.1016/j.tourman.2012.04.008", "ISSN" : "0261-5177", "abstract" : "As the French government strives to achieve their offshore renewable energy target, the impact of offshore wind farms on coastal tourism in the Languedoc Rousillon is now being questioned. To assess this issue, a choice experiment was undertaken to elicit tourist preferences for wind turbines at different distances from the shore. We also examined whether potential visual nuisances may be compensated by wind farm associated reef-recreation or by adopting a coherent environmental policy. The findings indicate that age, nationality, vacation activities and their destination loyalty influence attitudes towards compensatory policies. Two policy recommendations are suggested. First, everything else being equal, wind farms should be located no closer than 12 km from the shore. Second, and alternatively, a wind farm can be located from 5\u00a0km and outwards without a loss in tourism revenues if accompanied by a coherent environmental policy and wind farm associated recreational activities.", "author" : [ { "dropping-particle" : "", "family" : "Westerberg", "given" : "Vanja", "non-dropping-particle" : "", "parse-names" : false, "suffix" : "" }, { "dropping-particle" : "", "family" : "Jacobsen", "given" : "Jette Bredahl", "non-dropping-particle" : "", "parse-names" : false, "suffix" : "" }, { "dropping-particle" : "", "family" : "Lifran", "given" : "Robert", "non-dropping-particle" : "", "parse-names" : false, "suffix" : "" } ], "container-title" : "Tourism Management", "id" : "ITEM-2", "issue" : "0", "issued" : { "date-parts" : [ [ "2013", "2" ] ] }, "page" : "172-183", "title" : "The case for offshore wind farms, artificial reefs and sustainable tourism in the French mediterranean", "type" : "article-journal", "volume" : "34" }, "uris" : [ "http://www.mendeley.com/documents/?uuid=14bef4e3-6bfe-4233-96f4-fa114c36762a" ] } ], "mendeley" : { "formattedCitation" : "(Rambonilaza and Dachary-Bernard, 2007; Westerberg et al., 2013)", "manualFormatting" : "(e.g. Rambonilaza &amp; Dachary-Bernard, 2007; Westerberg et al., 2013)", "plainTextFormattedCitation" : "(Rambonilaza and Dachary-Bernard, 2007; Westerberg et al., 2013)", "previouslyFormattedCitation" : "(Rambonilaza and Dachary-Bernard, 2007; Westerberg et al.,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(e.g. Rambonilaza &amp; Dachary-Bernard, 2007; Westerberg et al., 2013)</w:t>
      </w:r>
      <w:r w:rsidRPr="00857048">
        <w:rPr>
          <w:rFonts w:cs="Arial"/>
          <w:sz w:val="20"/>
        </w:rPr>
        <w:fldChar w:fldCharType="end"/>
      </w:r>
      <w:r w:rsidRPr="00857048">
        <w:rPr>
          <w:rFonts w:cs="Arial"/>
          <w:sz w:val="20"/>
        </w:rPr>
        <w:t xml:space="preserve">. We chose a representative landscape photo of the case study area as the background layer. The photo was taken from a viewpoint in July 2014 and used Adobe Photoshop to digitally adjust the photos and visualize the different choice sets. The final choice cards consisted of both a visualization of the attribute levels in the lower half and pictograms depicting the different attribute levels in the upper half (Fig. 2). </w:t>
      </w:r>
    </w:p>
    <w:p w:rsidR="003F789A" w:rsidRPr="00857048" w:rsidRDefault="003F789A" w:rsidP="0032165B">
      <w:pPr>
        <w:pStyle w:val="Heading3"/>
        <w:numPr>
          <w:ilvl w:val="2"/>
          <w:numId w:val="35"/>
        </w:numPr>
        <w:ind w:left="851" w:hanging="851"/>
      </w:pPr>
      <w:bookmarkStart w:id="69" w:name="_Toc436757147"/>
      <w:bookmarkStart w:id="70" w:name="_Toc436758086"/>
      <w:bookmarkStart w:id="71" w:name="_Toc436915610"/>
      <w:bookmarkStart w:id="72" w:name="_Toc436916051"/>
      <w:r w:rsidRPr="00857048">
        <w:t>Results</w:t>
      </w:r>
      <w:bookmarkEnd w:id="69"/>
      <w:bookmarkEnd w:id="70"/>
      <w:bookmarkEnd w:id="71"/>
      <w:bookmarkEnd w:id="72"/>
    </w:p>
    <w:p w:rsidR="003F789A" w:rsidRDefault="003F789A" w:rsidP="006D566F">
      <w:pPr>
        <w:spacing w:after="0" w:line="360" w:lineRule="auto"/>
        <w:rPr>
          <w:rFonts w:cs="Arial"/>
          <w:b/>
          <w:i/>
          <w:sz w:val="20"/>
        </w:rPr>
      </w:pPr>
    </w:p>
    <w:p w:rsidR="003F789A" w:rsidRPr="006D566F" w:rsidRDefault="003F789A" w:rsidP="006D566F">
      <w:pPr>
        <w:spacing w:after="0" w:line="360" w:lineRule="auto"/>
        <w:rPr>
          <w:rFonts w:cs="Arial"/>
          <w:b/>
          <w:sz w:val="20"/>
        </w:rPr>
      </w:pPr>
      <w:r w:rsidRPr="006E4A0D">
        <w:rPr>
          <w:rFonts w:cs="Arial"/>
          <w:b/>
          <w:i/>
          <w:sz w:val="20"/>
        </w:rPr>
        <w:t xml:space="preserve"> </w:t>
      </w:r>
      <w:r w:rsidRPr="006D566F">
        <w:rPr>
          <w:rFonts w:cs="Arial"/>
          <w:b/>
          <w:sz w:val="20"/>
        </w:rPr>
        <w:t>Descriptive statistics of the sample</w:t>
      </w:r>
    </w:p>
    <w:p w:rsidR="003F789A" w:rsidRPr="00857048" w:rsidRDefault="003F789A" w:rsidP="006E4A0D">
      <w:pPr>
        <w:spacing w:after="100" w:afterAutospacing="1" w:line="360" w:lineRule="auto"/>
        <w:rPr>
          <w:rFonts w:cs="Arial"/>
          <w:sz w:val="20"/>
        </w:rPr>
      </w:pPr>
      <w:r w:rsidRPr="00857048">
        <w:rPr>
          <w:rFonts w:cs="Arial"/>
          <w:sz w:val="20"/>
        </w:rPr>
        <w:t xml:space="preserve">Taking into account age, gender and education, our sample comprised a fairly representative picture of the East Lothian population. There is a slight underrepresentation of young adults and people aged </w:t>
      </w:r>
      <w:r w:rsidRPr="00857048">
        <w:rPr>
          <w:rFonts w:cs="Arial"/>
          <w:sz w:val="20"/>
        </w:rPr>
        <w:lastRenderedPageBreak/>
        <w:t xml:space="preserve">above 75. The time of residence varied greatly among respondents, with a minimum of 0.5 years and a maximum of 88 years. Almost half of the respondents grew up in East Lothian.   </w:t>
      </w:r>
    </w:p>
    <w:p w:rsidR="003F789A" w:rsidRPr="00857048" w:rsidRDefault="003F789A" w:rsidP="006E4A0D">
      <w:pPr>
        <w:spacing w:after="100" w:afterAutospacing="1" w:line="360" w:lineRule="auto"/>
        <w:rPr>
          <w:rFonts w:cs="Arial"/>
          <w:sz w:val="20"/>
        </w:rPr>
      </w:pPr>
      <w:r w:rsidRPr="00857048">
        <w:rPr>
          <w:rFonts w:cs="Arial"/>
          <w:sz w:val="20"/>
        </w:rPr>
        <w:t>Overall, respondents strongly agreed with the statement that additional housing will have a negative effect on the East Lothian landscape (Table 3). There was, however, more disagreement with regard to the following statements about the necessity of housing in East Lothian.</w:t>
      </w:r>
    </w:p>
    <w:p w:rsidR="003F789A" w:rsidRPr="00857048" w:rsidRDefault="003F789A" w:rsidP="006E4A0D">
      <w:pPr>
        <w:spacing w:after="100" w:afterAutospacing="1" w:line="360" w:lineRule="auto"/>
        <w:rPr>
          <w:rFonts w:cs="Arial"/>
          <w:sz w:val="20"/>
        </w:rPr>
      </w:pPr>
      <w:r w:rsidRPr="00857048">
        <w:rPr>
          <w:rFonts w:cs="Arial"/>
          <w:sz w:val="20"/>
        </w:rPr>
        <w:t>Most residents did not particularly like the idea of more houses being built in East Lothian (as confirmed by the fourth statement), and would perhaps rather keep the level of housing as it is. At the same time they may also have felt that the increasing population will inevitably require additional housing.</w:t>
      </w:r>
      <w:r>
        <w:rPr>
          <w:rFonts w:cs="Arial"/>
          <w:sz w:val="20"/>
        </w:rPr>
        <w:t xml:space="preserve"> </w:t>
      </w:r>
      <w:r w:rsidRPr="00857048">
        <w:rPr>
          <w:rFonts w:cs="Arial"/>
          <w:sz w:val="20"/>
        </w:rPr>
        <w:t xml:space="preserve">When </w:t>
      </w:r>
      <w:r w:rsidRPr="00857048" w:rsidDel="006105AE">
        <w:rPr>
          <w:rFonts w:cs="Arial"/>
          <w:sz w:val="20"/>
        </w:rPr>
        <w:t xml:space="preserve">we asked respondents to indicate which </w:t>
      </w:r>
      <w:r w:rsidRPr="00857048">
        <w:rPr>
          <w:rFonts w:cs="Arial"/>
          <w:sz w:val="20"/>
        </w:rPr>
        <w:t>three</w:t>
      </w:r>
      <w:r w:rsidRPr="00857048" w:rsidDel="006105AE">
        <w:rPr>
          <w:rFonts w:cs="Arial"/>
          <w:sz w:val="20"/>
        </w:rPr>
        <w:t xml:space="preserve"> of the </w:t>
      </w:r>
      <w:r w:rsidRPr="00857048">
        <w:rPr>
          <w:rFonts w:cs="Arial"/>
          <w:sz w:val="20"/>
        </w:rPr>
        <w:t>nine</w:t>
      </w:r>
      <w:r w:rsidRPr="00857048" w:rsidDel="006105AE">
        <w:rPr>
          <w:rFonts w:cs="Arial"/>
          <w:sz w:val="20"/>
        </w:rPr>
        <w:t xml:space="preserve"> depicted </w:t>
      </w:r>
      <w:r>
        <w:rPr>
          <w:rFonts w:cs="Arial"/>
          <w:sz w:val="20"/>
        </w:rPr>
        <w:t>ES</w:t>
      </w:r>
      <w:r w:rsidRPr="00857048" w:rsidDel="006105AE">
        <w:rPr>
          <w:rFonts w:cs="Arial"/>
          <w:sz w:val="20"/>
        </w:rPr>
        <w:t>s they thought were most important</w:t>
      </w:r>
      <w:r w:rsidRPr="00857048">
        <w:rPr>
          <w:rFonts w:cs="Arial"/>
          <w:sz w:val="20"/>
        </w:rPr>
        <w:t xml:space="preserve"> </w:t>
      </w:r>
      <w:proofErr w:type="spellStart"/>
      <w:r w:rsidRPr="00857048">
        <w:rPr>
          <w:rFonts w:cs="Arial"/>
          <w:sz w:val="20"/>
        </w:rPr>
        <w:t>for</w:t>
      </w:r>
      <w:r w:rsidRPr="00857048" w:rsidDel="006105AE">
        <w:rPr>
          <w:rFonts w:cs="Arial"/>
          <w:sz w:val="20"/>
        </w:rPr>
        <w:t>their</w:t>
      </w:r>
      <w:proofErr w:type="spellEnd"/>
      <w:r w:rsidRPr="00857048" w:rsidDel="006105AE">
        <w:rPr>
          <w:rFonts w:cs="Arial"/>
          <w:sz w:val="20"/>
        </w:rPr>
        <w:t xml:space="preserve"> personal well-being</w:t>
      </w:r>
      <w:r w:rsidRPr="00857048">
        <w:rPr>
          <w:rFonts w:cs="Arial"/>
          <w:sz w:val="20"/>
        </w:rPr>
        <w:t xml:space="preserve">, recreation, maintaining the traditional character of the landscape, and supporting biodiversity, were mentioned most often. Timber and through carbon sequestration were mentioned least often. Tourism was not found to be very important, which may be because people do not regard tourism as important for their own personal well-being. </w:t>
      </w:r>
    </w:p>
    <w:p w:rsidR="003F789A" w:rsidRDefault="003F789A" w:rsidP="006E4A0D">
      <w:pPr>
        <w:spacing w:after="100" w:afterAutospacing="1" w:line="360" w:lineRule="auto"/>
        <w:rPr>
          <w:rFonts w:cs="Arial"/>
          <w:sz w:val="20"/>
        </w:rPr>
      </w:pPr>
      <w:r w:rsidRPr="00857048">
        <w:rPr>
          <w:rFonts w:cs="Arial"/>
          <w:sz w:val="20"/>
        </w:rPr>
        <w:t xml:space="preserve">Seventy-five percent of the respondents mentioned that they thought that at least one of the </w:t>
      </w:r>
      <w:r>
        <w:rPr>
          <w:rFonts w:cs="Arial"/>
          <w:sz w:val="20"/>
        </w:rPr>
        <w:t>ES</w:t>
      </w:r>
      <w:r w:rsidRPr="00857048">
        <w:rPr>
          <w:rFonts w:cs="Arial"/>
          <w:sz w:val="20"/>
        </w:rPr>
        <w:t xml:space="preserve">s would be threatened by additional housing in East Lothian. In addition, 11 % answered that maybe one of the </w:t>
      </w:r>
      <w:r>
        <w:rPr>
          <w:rFonts w:cs="Arial"/>
          <w:sz w:val="20"/>
        </w:rPr>
        <w:t>ES</w:t>
      </w:r>
      <w:r w:rsidRPr="00857048">
        <w:rPr>
          <w:rFonts w:cs="Arial"/>
          <w:sz w:val="20"/>
        </w:rPr>
        <w:t>s would be affected by additional housing. When asked which one would be affected the most, biodiversity, traditional character of the landscape, supporting agriculture and aesthetic quality were mentioned most often.</w:t>
      </w:r>
    </w:p>
    <w:p w:rsidR="003F789A" w:rsidRDefault="003F789A" w:rsidP="005345AE">
      <w:pPr>
        <w:spacing w:after="100" w:afterAutospacing="1" w:line="360" w:lineRule="auto"/>
        <w:rPr>
          <w:rFonts w:cs="Arial"/>
          <w:sz w:val="20"/>
        </w:rPr>
      </w:pPr>
      <w:r w:rsidRPr="00857048">
        <w:rPr>
          <w:rFonts w:cs="Arial"/>
          <w:sz w:val="20"/>
        </w:rPr>
        <w:t xml:space="preserve">After asking people about their values for </w:t>
      </w:r>
      <w:r>
        <w:rPr>
          <w:rFonts w:cs="Arial"/>
          <w:sz w:val="20"/>
        </w:rPr>
        <w:t>ES</w:t>
      </w:r>
      <w:r w:rsidRPr="00857048">
        <w:rPr>
          <w:rFonts w:cs="Arial"/>
          <w:sz w:val="20"/>
        </w:rPr>
        <w:t xml:space="preserve">s, we also asked which </w:t>
      </w:r>
      <w:r>
        <w:rPr>
          <w:rFonts w:cs="Arial"/>
          <w:sz w:val="20"/>
        </w:rPr>
        <w:t>ES</w:t>
      </w:r>
      <w:r w:rsidRPr="00857048">
        <w:rPr>
          <w:rFonts w:cs="Arial"/>
          <w:sz w:val="20"/>
        </w:rPr>
        <w:t xml:space="preserve"> they associated most with each of the woodland restoration attributes (Fig. 4). Broadleaved forest was mostly associated with biodiversity, although the perceived difference between softwood forest and broadleaved forest for this </w:t>
      </w:r>
      <w:r>
        <w:rPr>
          <w:rFonts w:cs="Arial"/>
          <w:sz w:val="20"/>
        </w:rPr>
        <w:t>ES</w:t>
      </w:r>
      <w:r w:rsidRPr="00857048">
        <w:rPr>
          <w:rFonts w:cs="Arial"/>
          <w:sz w:val="20"/>
        </w:rPr>
        <w:t xml:space="preserve"> was small (6%). This may indicate that forests are generally thought to be beneficial for plants and wildlife, in contrast to agricultural fields. </w:t>
      </w:r>
    </w:p>
    <w:p w:rsidR="003F789A" w:rsidRPr="00857048" w:rsidRDefault="003F789A" w:rsidP="005345AE">
      <w:pPr>
        <w:spacing w:after="100" w:afterAutospacing="1" w:line="360" w:lineRule="auto"/>
        <w:rPr>
          <w:rFonts w:cs="Arial"/>
          <w:sz w:val="20"/>
        </w:rPr>
      </w:pPr>
      <w:r w:rsidRPr="00857048">
        <w:rPr>
          <w:rFonts w:cs="Arial"/>
          <w:sz w:val="20"/>
        </w:rPr>
        <w:t xml:space="preserve">Shelterbelts were mostly associated with supporting agriculture and maintaining the traditional character of the landscape. Softwood forest was mostly associated with the provision of timber, which was considered important by many respondents. Recreation was associated mostly with mixed broadleaved forest, but it was not mentioned often. This may be because many respondents answered that they went to the coast of East Lothian for recreation (63.8%), whereas 44.6% mentioned that they went to the rural countryside of East Lothian for recreation. </w:t>
      </w:r>
    </w:p>
    <w:p w:rsidR="003F789A" w:rsidRPr="00857048" w:rsidRDefault="008C4819" w:rsidP="006E4A0D">
      <w:pPr>
        <w:spacing w:after="0" w:line="360" w:lineRule="auto"/>
        <w:rPr>
          <w:rFonts w:cs="Arial"/>
          <w:sz w:val="20"/>
        </w:rPr>
      </w:pPr>
      <w:r>
        <w:rPr>
          <w:rFonts w:cs="Arial"/>
          <w:noProof/>
          <w:sz w:val="20"/>
          <w:lang w:val="en-IE" w:eastAsia="en-IE"/>
        </w:rPr>
        <w:lastRenderedPageBreak/>
        <w:drawing>
          <wp:inline distT="0" distB="0" distL="0" distR="0">
            <wp:extent cx="4839335" cy="2419985"/>
            <wp:effectExtent l="0" t="0" r="0" b="0"/>
            <wp:docPr id="34" name="Picture 6"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335" cy="2419985"/>
                    </a:xfrm>
                    <a:prstGeom prst="rect">
                      <a:avLst/>
                    </a:prstGeom>
                    <a:noFill/>
                    <a:ln>
                      <a:noFill/>
                    </a:ln>
                  </pic:spPr>
                </pic:pic>
              </a:graphicData>
            </a:graphic>
          </wp:inline>
        </w:drawing>
      </w:r>
    </w:p>
    <w:p w:rsidR="003F789A" w:rsidRDefault="003F789A" w:rsidP="006E4A0D">
      <w:pPr>
        <w:spacing w:after="0" w:line="240" w:lineRule="auto"/>
        <w:rPr>
          <w:rFonts w:cs="Arial"/>
          <w:sz w:val="18"/>
          <w:szCs w:val="18"/>
        </w:rPr>
      </w:pPr>
      <w:r w:rsidRPr="006E4A0D">
        <w:rPr>
          <w:rFonts w:cs="Arial"/>
          <w:sz w:val="18"/>
          <w:szCs w:val="18"/>
        </w:rPr>
        <w:t>Fig 4. Associations of ES with the three types of woodland. Numbers indicate the percentage of respondents that listed a particular ES by each woodland type.</w:t>
      </w:r>
    </w:p>
    <w:p w:rsidR="003F789A" w:rsidRDefault="003F789A" w:rsidP="006E4A0D">
      <w:pPr>
        <w:spacing w:after="0" w:line="240" w:lineRule="auto"/>
        <w:rPr>
          <w:rFonts w:cs="Arial"/>
          <w:sz w:val="18"/>
          <w:szCs w:val="18"/>
        </w:rPr>
      </w:pPr>
    </w:p>
    <w:p w:rsidR="003F789A" w:rsidRDefault="003F789A" w:rsidP="006E4A0D">
      <w:pPr>
        <w:spacing w:after="0" w:line="240" w:lineRule="auto"/>
        <w:rPr>
          <w:rFonts w:cs="Arial"/>
          <w:sz w:val="18"/>
          <w:szCs w:val="18"/>
        </w:rPr>
      </w:pPr>
    </w:p>
    <w:p w:rsidR="003F789A" w:rsidRPr="006D566F" w:rsidRDefault="003F789A" w:rsidP="00934054">
      <w:pPr>
        <w:rPr>
          <w:b/>
          <w:sz w:val="20"/>
        </w:rPr>
      </w:pPr>
      <w:r w:rsidRPr="006D566F">
        <w:rPr>
          <w:b/>
          <w:sz w:val="20"/>
        </w:rPr>
        <w:t>Preferences for landscape attributes</w:t>
      </w:r>
    </w:p>
    <w:p w:rsidR="003F789A" w:rsidRPr="00934054" w:rsidRDefault="003F789A" w:rsidP="006E4A0D">
      <w:pPr>
        <w:spacing w:after="0" w:line="240" w:lineRule="auto"/>
        <w:rPr>
          <w:rFonts w:ascii="Arial Bold" w:hAnsi="Arial Bold" w:cs="Arial"/>
          <w:i/>
          <w:sz w:val="20"/>
        </w:rPr>
      </w:pPr>
    </w:p>
    <w:p w:rsidR="003F789A" w:rsidRPr="006D566F" w:rsidRDefault="003F789A" w:rsidP="006D566F">
      <w:pPr>
        <w:spacing w:after="0" w:line="360" w:lineRule="auto"/>
        <w:rPr>
          <w:rFonts w:ascii="Arial Bold" w:hAnsi="Arial Bold" w:cs="Arial"/>
          <w:b/>
          <w:i/>
          <w:sz w:val="20"/>
        </w:rPr>
      </w:pPr>
      <w:r w:rsidRPr="006D566F">
        <w:rPr>
          <w:rFonts w:ascii="Arial Bold" w:hAnsi="Arial Bold" w:cs="Arial"/>
          <w:b/>
          <w:i/>
          <w:sz w:val="20"/>
        </w:rPr>
        <w:t>The conditional logit model</w:t>
      </w:r>
    </w:p>
    <w:p w:rsidR="003F789A" w:rsidRPr="00857048" w:rsidRDefault="003F789A" w:rsidP="006E4A0D">
      <w:pPr>
        <w:spacing w:after="100" w:afterAutospacing="1" w:line="360" w:lineRule="auto"/>
        <w:rPr>
          <w:rFonts w:cs="Arial"/>
          <w:sz w:val="20"/>
        </w:rPr>
      </w:pPr>
      <w:r w:rsidRPr="00857048">
        <w:rPr>
          <w:rFonts w:cs="Arial"/>
          <w:sz w:val="20"/>
        </w:rPr>
        <w:t>The conditional logit model indicates all landscape attributes, except for the low level of softwood forest, had a significant effect on the choice of alternatives (Table 3). The high levels of all the woodland restoration attributes played the largest role, with most emphasis on mixed broadleaved forest. As hypothesized, on average the housing attribute negatively affected choice and the woodland restoration attributes positively affected choice of the alternatives. The negative coefficient for the ASC suggests that on average respondents significantly chose one of the two alternatives rather than the status quo option. The explanatory power of the model however, as indicated by the ρ² statistic, is rather low.</w:t>
      </w:r>
    </w:p>
    <w:p w:rsidR="003F789A" w:rsidRDefault="003F789A" w:rsidP="006E4A0D">
      <w:pPr>
        <w:spacing w:after="0" w:line="240" w:lineRule="auto"/>
        <w:rPr>
          <w:rFonts w:cs="Arial"/>
          <w:sz w:val="18"/>
          <w:szCs w:val="18"/>
        </w:rPr>
      </w:pPr>
      <w:r w:rsidRPr="006E4A0D">
        <w:rPr>
          <w:rFonts w:cs="Arial"/>
          <w:sz w:val="18"/>
          <w:szCs w:val="18"/>
        </w:rPr>
        <w:t>Table 3. Results from the conditional logit model</w:t>
      </w:r>
    </w:p>
    <w:p w:rsidR="003F789A" w:rsidRPr="006E4A0D" w:rsidRDefault="003F789A" w:rsidP="006E4A0D">
      <w:pPr>
        <w:spacing w:after="0" w:line="240" w:lineRule="auto"/>
        <w:rPr>
          <w:rFonts w:cs="Arial"/>
          <w:sz w:val="18"/>
          <w:szCs w:val="18"/>
        </w:rPr>
      </w:pPr>
    </w:p>
    <w:tbl>
      <w:tblPr>
        <w:tblW w:w="0" w:type="auto"/>
        <w:tblLook w:val="00A0" w:firstRow="1" w:lastRow="0" w:firstColumn="1" w:lastColumn="0" w:noHBand="0" w:noVBand="0"/>
      </w:tblPr>
      <w:tblGrid>
        <w:gridCol w:w="3369"/>
        <w:gridCol w:w="2062"/>
        <w:gridCol w:w="1056"/>
        <w:gridCol w:w="881"/>
      </w:tblGrid>
      <w:tr w:rsidR="003F789A" w:rsidRPr="00857048" w:rsidTr="00857048">
        <w:tc>
          <w:tcPr>
            <w:tcW w:w="3369" w:type="dxa"/>
            <w:tcBorders>
              <w:top w:val="single" w:sz="12" w:space="0" w:color="auto"/>
            </w:tcBorders>
            <w:vAlign w:val="center"/>
          </w:tcPr>
          <w:p w:rsidR="003F789A" w:rsidRPr="005345AE" w:rsidRDefault="003F789A" w:rsidP="006E4A0D">
            <w:pPr>
              <w:autoSpaceDE w:val="0"/>
              <w:autoSpaceDN w:val="0"/>
              <w:adjustRightInd w:val="0"/>
              <w:spacing w:after="100" w:afterAutospacing="1" w:line="240" w:lineRule="auto"/>
              <w:rPr>
                <w:rFonts w:cs="Arial"/>
                <w:b/>
                <w:sz w:val="18"/>
                <w:szCs w:val="18"/>
              </w:rPr>
            </w:pPr>
            <w:r w:rsidRPr="005345AE">
              <w:rPr>
                <w:rFonts w:cs="Arial"/>
                <w:b/>
                <w:sz w:val="18"/>
                <w:szCs w:val="18"/>
              </w:rPr>
              <w:t>Attribute</w:t>
            </w:r>
          </w:p>
        </w:tc>
        <w:tc>
          <w:tcPr>
            <w:tcW w:w="2062" w:type="dxa"/>
            <w:tcBorders>
              <w:top w:val="single" w:sz="12" w:space="0" w:color="auto"/>
            </w:tcBorders>
            <w:vAlign w:val="center"/>
          </w:tcPr>
          <w:p w:rsidR="003F789A" w:rsidRPr="005345AE" w:rsidRDefault="003F789A" w:rsidP="006E4A0D">
            <w:pPr>
              <w:autoSpaceDE w:val="0"/>
              <w:autoSpaceDN w:val="0"/>
              <w:adjustRightInd w:val="0"/>
              <w:spacing w:after="100" w:afterAutospacing="1" w:line="240" w:lineRule="auto"/>
              <w:rPr>
                <w:rFonts w:cs="Arial"/>
                <w:b/>
                <w:sz w:val="18"/>
                <w:szCs w:val="18"/>
              </w:rPr>
            </w:pPr>
            <w:r w:rsidRPr="005345AE">
              <w:rPr>
                <w:rFonts w:cs="Arial"/>
                <w:b/>
                <w:sz w:val="18"/>
                <w:szCs w:val="18"/>
              </w:rPr>
              <w:t>Variable name</w:t>
            </w:r>
          </w:p>
        </w:tc>
        <w:tc>
          <w:tcPr>
            <w:tcW w:w="1056" w:type="dxa"/>
            <w:tcBorders>
              <w:top w:val="single" w:sz="12" w:space="0" w:color="auto"/>
            </w:tcBorders>
            <w:vAlign w:val="center"/>
          </w:tcPr>
          <w:p w:rsidR="003F789A" w:rsidRPr="005345AE" w:rsidRDefault="003F789A" w:rsidP="006E4A0D">
            <w:pPr>
              <w:autoSpaceDE w:val="0"/>
              <w:autoSpaceDN w:val="0"/>
              <w:adjustRightInd w:val="0"/>
              <w:spacing w:after="100" w:afterAutospacing="1" w:line="240" w:lineRule="auto"/>
              <w:rPr>
                <w:rFonts w:cs="Arial"/>
                <w:b/>
                <w:sz w:val="18"/>
                <w:szCs w:val="18"/>
              </w:rPr>
            </w:pPr>
            <w:r w:rsidRPr="005345AE">
              <w:rPr>
                <w:rFonts w:cs="Arial"/>
                <w:b/>
                <w:sz w:val="18"/>
                <w:szCs w:val="18"/>
              </w:rPr>
              <w:t>β</w:t>
            </w:r>
          </w:p>
        </w:tc>
        <w:tc>
          <w:tcPr>
            <w:tcW w:w="881" w:type="dxa"/>
            <w:tcBorders>
              <w:top w:val="single" w:sz="12" w:space="0" w:color="auto"/>
            </w:tcBorders>
            <w:vAlign w:val="center"/>
          </w:tcPr>
          <w:p w:rsidR="003F789A" w:rsidRPr="005345AE" w:rsidRDefault="003F789A" w:rsidP="006E4A0D">
            <w:pPr>
              <w:autoSpaceDE w:val="0"/>
              <w:autoSpaceDN w:val="0"/>
              <w:adjustRightInd w:val="0"/>
              <w:spacing w:after="100" w:afterAutospacing="1" w:line="240" w:lineRule="auto"/>
              <w:rPr>
                <w:rFonts w:cs="Arial"/>
                <w:b/>
                <w:sz w:val="18"/>
                <w:szCs w:val="18"/>
              </w:rPr>
            </w:pPr>
            <w:proofErr w:type="spellStart"/>
            <w:r w:rsidRPr="005345AE">
              <w:rPr>
                <w:rFonts w:cs="Arial"/>
                <w:b/>
                <w:sz w:val="18"/>
                <w:szCs w:val="18"/>
              </w:rPr>
              <w:t>s.e.</w:t>
            </w:r>
            <w:proofErr w:type="spellEnd"/>
          </w:p>
        </w:tc>
      </w:tr>
      <w:tr w:rsidR="003F789A" w:rsidRPr="00857048" w:rsidTr="00857048">
        <w:tc>
          <w:tcPr>
            <w:tcW w:w="3369" w:type="dxa"/>
            <w:tcBorders>
              <w:bottom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
        </w:tc>
        <w:tc>
          <w:tcPr>
            <w:tcW w:w="2062" w:type="dxa"/>
            <w:tcBorders>
              <w:bottom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
        </w:tc>
        <w:tc>
          <w:tcPr>
            <w:tcW w:w="1056" w:type="dxa"/>
            <w:tcBorders>
              <w:bottom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
        </w:tc>
        <w:tc>
          <w:tcPr>
            <w:tcW w:w="881" w:type="dxa"/>
            <w:tcBorders>
              <w:bottom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
        </w:tc>
      </w:tr>
      <w:tr w:rsidR="003F789A" w:rsidRPr="00857048" w:rsidTr="00857048">
        <w:tc>
          <w:tcPr>
            <w:tcW w:w="3369" w:type="dxa"/>
            <w:tcBorders>
              <w:top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ASC</w:t>
            </w:r>
          </w:p>
        </w:tc>
        <w:tc>
          <w:tcPr>
            <w:tcW w:w="2062" w:type="dxa"/>
            <w:tcBorders>
              <w:top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
        </w:tc>
        <w:tc>
          <w:tcPr>
            <w:tcW w:w="1056" w:type="dxa"/>
            <w:tcBorders>
              <w:top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-.457***</w:t>
            </w:r>
          </w:p>
        </w:tc>
        <w:tc>
          <w:tcPr>
            <w:tcW w:w="881" w:type="dxa"/>
            <w:tcBorders>
              <w:top w:val="single" w:sz="12" w:space="0" w:color="auto"/>
            </w:tcBorders>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.133</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Houses</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Houses</w:t>
            </w:r>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-.002***</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.034</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Softwood forest low</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SFlow</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.148</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.096</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Softwood forest medium</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SFmed</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.366***</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.097</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Softwood forest high</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SFhigh</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.536***</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.097</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Shelterbelts low</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SBlow</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.191**</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.097</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Shelterbelts medium</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SBmed</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.385***</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.108</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Shelterbelts high</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SBhigh</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.454***</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.102</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Broadleaved forest low</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BFlow</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.281***</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.099</w:t>
            </w:r>
          </w:p>
        </w:tc>
      </w:tr>
      <w:tr w:rsidR="003F789A" w:rsidRPr="00857048" w:rsidTr="00857048">
        <w:tc>
          <w:tcPr>
            <w:tcW w:w="3369"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Broadleaved forest medium</w:t>
            </w:r>
          </w:p>
        </w:tc>
        <w:tc>
          <w:tcPr>
            <w:tcW w:w="2062"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proofErr w:type="spellStart"/>
            <w:r w:rsidRPr="006E4A0D">
              <w:rPr>
                <w:rFonts w:cs="Arial"/>
                <w:sz w:val="18"/>
                <w:szCs w:val="18"/>
              </w:rPr>
              <w:t>BFmed</w:t>
            </w:r>
            <w:proofErr w:type="spellEnd"/>
          </w:p>
        </w:tc>
        <w:tc>
          <w:tcPr>
            <w:tcW w:w="1056"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.546***</w:t>
            </w:r>
          </w:p>
        </w:tc>
        <w:tc>
          <w:tcPr>
            <w:tcW w:w="881" w:type="dxa"/>
            <w:vAlign w:val="center"/>
          </w:tcPr>
          <w:p w:rsidR="003F789A" w:rsidRPr="006E4A0D" w:rsidRDefault="003F789A" w:rsidP="006E4A0D">
            <w:pPr>
              <w:autoSpaceDE w:val="0"/>
              <w:autoSpaceDN w:val="0"/>
              <w:adjustRightInd w:val="0"/>
              <w:spacing w:after="100" w:afterAutospacing="1" w:line="240" w:lineRule="auto"/>
              <w:rPr>
                <w:rFonts w:cs="Arial"/>
                <w:sz w:val="18"/>
                <w:szCs w:val="18"/>
              </w:rPr>
            </w:pPr>
            <w:r w:rsidRPr="006E4A0D">
              <w:rPr>
                <w:rFonts w:cs="Arial"/>
                <w:sz w:val="18"/>
                <w:szCs w:val="18"/>
              </w:rPr>
              <w:t>.094</w:t>
            </w:r>
          </w:p>
        </w:tc>
      </w:tr>
      <w:tr w:rsidR="003F789A" w:rsidRPr="00857048" w:rsidTr="00857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369"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sz w:val="18"/>
                <w:szCs w:val="18"/>
              </w:rPr>
              <w:t>Broadleaved forest high</w:t>
            </w:r>
          </w:p>
        </w:tc>
        <w:tc>
          <w:tcPr>
            <w:tcW w:w="2062"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roofErr w:type="spellStart"/>
            <w:r w:rsidRPr="006E4A0D">
              <w:rPr>
                <w:rFonts w:cs="Arial"/>
                <w:sz w:val="18"/>
                <w:szCs w:val="18"/>
              </w:rPr>
              <w:t>BFhigh</w:t>
            </w:r>
            <w:proofErr w:type="spellEnd"/>
          </w:p>
        </w:tc>
        <w:tc>
          <w:tcPr>
            <w:tcW w:w="1056"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sz w:val="18"/>
                <w:szCs w:val="18"/>
              </w:rPr>
              <w:t>.802***</w:t>
            </w:r>
          </w:p>
        </w:tc>
        <w:tc>
          <w:tcPr>
            <w:tcW w:w="881"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sz w:val="18"/>
                <w:szCs w:val="18"/>
              </w:rPr>
              <w:t>.101</w:t>
            </w:r>
          </w:p>
        </w:tc>
      </w:tr>
      <w:tr w:rsidR="003F789A" w:rsidRPr="00857048" w:rsidTr="00857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369"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c>
          <w:tcPr>
            <w:tcW w:w="2062" w:type="dxa"/>
            <w:tcBorders>
              <w:top w:val="nil"/>
              <w:left w:val="nil"/>
              <w:bottom w:val="nil"/>
              <w:right w:val="nil"/>
            </w:tcBorders>
          </w:tcPr>
          <w:p w:rsidR="003F789A" w:rsidRPr="006E4A0D" w:rsidRDefault="003F789A" w:rsidP="006E4A0D">
            <w:pPr>
              <w:spacing w:after="100" w:afterAutospacing="1" w:line="240" w:lineRule="auto"/>
              <w:rPr>
                <w:rFonts w:cs="Arial"/>
                <w:color w:val="000000"/>
                <w:sz w:val="18"/>
                <w:szCs w:val="18"/>
                <w:lang w:eastAsia="nl-NL"/>
              </w:rPr>
            </w:pPr>
          </w:p>
        </w:tc>
        <w:tc>
          <w:tcPr>
            <w:tcW w:w="1056"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c>
          <w:tcPr>
            <w:tcW w:w="881"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r>
      <w:tr w:rsidR="003F789A" w:rsidRPr="00857048" w:rsidTr="00857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369"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sz w:val="18"/>
                <w:szCs w:val="18"/>
              </w:rPr>
              <w:t>Log Likelihood</w:t>
            </w:r>
          </w:p>
        </w:tc>
        <w:tc>
          <w:tcPr>
            <w:tcW w:w="2062"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color w:val="000000"/>
                <w:sz w:val="18"/>
                <w:szCs w:val="18"/>
                <w:lang w:eastAsia="nl-NL"/>
              </w:rPr>
              <w:t>-1829.16</w:t>
            </w:r>
          </w:p>
        </w:tc>
        <w:tc>
          <w:tcPr>
            <w:tcW w:w="1056"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c>
          <w:tcPr>
            <w:tcW w:w="881"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r>
      <w:tr w:rsidR="003F789A" w:rsidRPr="00857048" w:rsidTr="00857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3369"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sz w:val="18"/>
                <w:szCs w:val="18"/>
              </w:rPr>
              <w:t>Adjusted ρ²</w:t>
            </w:r>
          </w:p>
        </w:tc>
        <w:tc>
          <w:tcPr>
            <w:tcW w:w="2062"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r w:rsidRPr="006E4A0D">
              <w:rPr>
                <w:rFonts w:cs="Arial"/>
                <w:color w:val="000000"/>
                <w:sz w:val="18"/>
                <w:szCs w:val="18"/>
                <w:lang w:val="nl-NL" w:eastAsia="nl-NL"/>
              </w:rPr>
              <w:t>0.0852</w:t>
            </w:r>
          </w:p>
        </w:tc>
        <w:tc>
          <w:tcPr>
            <w:tcW w:w="1056"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c>
          <w:tcPr>
            <w:tcW w:w="881" w:type="dxa"/>
            <w:tcBorders>
              <w:top w:val="nil"/>
              <w:left w:val="nil"/>
              <w:bottom w:val="nil"/>
              <w:right w:val="nil"/>
            </w:tcBorders>
          </w:tcPr>
          <w:p w:rsidR="003F789A" w:rsidRPr="006E4A0D" w:rsidRDefault="003F789A" w:rsidP="006E4A0D">
            <w:pPr>
              <w:spacing w:after="100" w:afterAutospacing="1" w:line="240" w:lineRule="auto"/>
              <w:rPr>
                <w:rFonts w:cs="Arial"/>
                <w:sz w:val="18"/>
                <w:szCs w:val="18"/>
              </w:rPr>
            </w:pPr>
          </w:p>
        </w:tc>
      </w:tr>
    </w:tbl>
    <w:p w:rsidR="003F789A" w:rsidRPr="00857048" w:rsidRDefault="003F789A" w:rsidP="00857048">
      <w:pPr>
        <w:spacing w:after="100" w:afterAutospacing="1" w:line="360" w:lineRule="auto"/>
        <w:rPr>
          <w:rFonts w:cs="Arial"/>
          <w:sz w:val="20"/>
        </w:rPr>
      </w:pPr>
    </w:p>
    <w:p w:rsidR="003F789A" w:rsidRPr="006D566F" w:rsidRDefault="003F789A" w:rsidP="006D566F">
      <w:pPr>
        <w:spacing w:after="0" w:line="360" w:lineRule="auto"/>
        <w:rPr>
          <w:rFonts w:cs="Arial"/>
          <w:b/>
          <w:i/>
          <w:sz w:val="20"/>
        </w:rPr>
      </w:pPr>
      <w:r w:rsidRPr="006D566F">
        <w:rPr>
          <w:rFonts w:cs="Arial"/>
          <w:b/>
          <w:i/>
          <w:sz w:val="20"/>
        </w:rPr>
        <w:lastRenderedPageBreak/>
        <w:t>The latent class model</w:t>
      </w:r>
    </w:p>
    <w:p w:rsidR="003F789A" w:rsidRPr="00857048" w:rsidRDefault="003F789A" w:rsidP="00857048">
      <w:pPr>
        <w:spacing w:after="100" w:afterAutospacing="1" w:line="360" w:lineRule="auto"/>
        <w:rPr>
          <w:rFonts w:cs="Arial"/>
          <w:sz w:val="20"/>
        </w:rPr>
      </w:pPr>
      <w:r>
        <w:rPr>
          <w:rFonts w:cs="Arial"/>
          <w:sz w:val="20"/>
        </w:rPr>
        <w:t>A</w:t>
      </w:r>
      <w:r w:rsidRPr="00857048">
        <w:rPr>
          <w:rFonts w:cs="Arial"/>
          <w:sz w:val="20"/>
        </w:rPr>
        <w:t xml:space="preserve"> latent class model (LCM) can be run using different amounts of segments, i.e. classes.  Determining the appropriate number of classes is usually based on goodness of fit indicators such as the Bayesian Information Criterion (BIC) and </w:t>
      </w:r>
      <w:proofErr w:type="spellStart"/>
      <w:r w:rsidRPr="00857048">
        <w:rPr>
          <w:rFonts w:cs="Arial"/>
          <w:sz w:val="20"/>
        </w:rPr>
        <w:t>Akaike’s</w:t>
      </w:r>
      <w:proofErr w:type="spellEnd"/>
      <w:r w:rsidRPr="00857048">
        <w:rPr>
          <w:rFonts w:cs="Arial"/>
          <w:sz w:val="20"/>
        </w:rPr>
        <w:t xml:space="preserve"> Information Criterion (AIC). For the identification of the proper amount of classes, however, the significance of parameter estimates as well as the external validity of the model have to be considered (</w:t>
      </w:r>
      <w:proofErr w:type="spellStart"/>
      <w:r w:rsidRPr="00857048">
        <w:rPr>
          <w:rFonts w:cs="Arial"/>
          <w:sz w:val="20"/>
        </w:rPr>
        <w:t>Scarpa</w:t>
      </w:r>
      <w:proofErr w:type="spellEnd"/>
      <w:r w:rsidRPr="00857048">
        <w:rPr>
          <w:rFonts w:cs="Arial"/>
          <w:sz w:val="20"/>
        </w:rPr>
        <w:t xml:space="preserve"> and </w:t>
      </w:r>
      <w:proofErr w:type="spellStart"/>
      <w:r w:rsidRPr="00857048">
        <w:rPr>
          <w:rFonts w:cs="Arial"/>
          <w:sz w:val="20"/>
        </w:rPr>
        <w:t>Thiene</w:t>
      </w:r>
      <w:proofErr w:type="spellEnd"/>
      <w:r w:rsidRPr="00857048">
        <w:rPr>
          <w:rFonts w:cs="Arial"/>
          <w:sz w:val="20"/>
        </w:rPr>
        <w:t>, 2011).</w:t>
      </w:r>
      <w:r w:rsidRPr="00857048">
        <w:rPr>
          <w:rFonts w:cs="Arial"/>
          <w:color w:val="FF0000"/>
          <w:sz w:val="20"/>
        </w:rPr>
        <w:t xml:space="preserve"> </w:t>
      </w:r>
      <w:r w:rsidRPr="00857048">
        <w:rPr>
          <w:rFonts w:cs="Arial"/>
          <w:sz w:val="20"/>
        </w:rPr>
        <w:t>In our case,</w:t>
      </w:r>
      <w:r w:rsidRPr="00857048">
        <w:rPr>
          <w:rFonts w:cs="Arial"/>
          <w:color w:val="FF0000"/>
          <w:sz w:val="20"/>
        </w:rPr>
        <w:t xml:space="preserve"> </w:t>
      </w:r>
      <w:r w:rsidRPr="00857048">
        <w:rPr>
          <w:rFonts w:cs="Arial"/>
          <w:sz w:val="20"/>
        </w:rPr>
        <w:t>the BIC favo</w:t>
      </w:r>
      <w:r>
        <w:rPr>
          <w:rFonts w:cs="Arial"/>
          <w:sz w:val="20"/>
        </w:rPr>
        <w:t>u</w:t>
      </w:r>
      <w:r w:rsidRPr="00857048">
        <w:rPr>
          <w:rFonts w:cs="Arial"/>
          <w:sz w:val="20"/>
        </w:rPr>
        <w:t xml:space="preserve">rs a model with 2 classes, while the AIC keeps improving with increasing number of classes (Table 4). Taking into account the significance levels of the parameter estimates and the external validity of the model, we chose the model with 4 classes as the most appropriate. </w:t>
      </w:r>
    </w:p>
    <w:p w:rsidR="003F789A" w:rsidRPr="006E4A0D" w:rsidRDefault="003F789A" w:rsidP="006E4A0D">
      <w:pPr>
        <w:spacing w:after="0" w:line="360" w:lineRule="auto"/>
        <w:rPr>
          <w:rFonts w:cs="Arial"/>
          <w:sz w:val="18"/>
          <w:szCs w:val="18"/>
        </w:rPr>
      </w:pPr>
      <w:r w:rsidRPr="006E4A0D">
        <w:rPr>
          <w:rFonts w:cs="Arial"/>
          <w:sz w:val="18"/>
          <w:szCs w:val="18"/>
        </w:rPr>
        <w:t>Table 4.  Criteria for identifying the appropriate number of classes</w:t>
      </w:r>
    </w:p>
    <w:tbl>
      <w:tblPr>
        <w:tblW w:w="8453" w:type="dxa"/>
        <w:tblInd w:w="56" w:type="dxa"/>
        <w:tblCellMar>
          <w:left w:w="70" w:type="dxa"/>
          <w:right w:w="70" w:type="dxa"/>
        </w:tblCellMar>
        <w:tblLook w:val="00A0" w:firstRow="1" w:lastRow="0" w:firstColumn="1" w:lastColumn="0" w:noHBand="0" w:noVBand="0"/>
      </w:tblPr>
      <w:tblGrid>
        <w:gridCol w:w="1999"/>
        <w:gridCol w:w="1134"/>
        <w:gridCol w:w="1134"/>
        <w:gridCol w:w="1417"/>
        <w:gridCol w:w="1544"/>
        <w:gridCol w:w="1225"/>
      </w:tblGrid>
      <w:tr w:rsidR="003F789A" w:rsidRPr="00857048" w:rsidTr="00857048">
        <w:trPr>
          <w:trHeight w:val="298"/>
        </w:trPr>
        <w:tc>
          <w:tcPr>
            <w:tcW w:w="1999"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Number of classes</w:t>
            </w:r>
          </w:p>
        </w:tc>
        <w:tc>
          <w:tcPr>
            <w:tcW w:w="1134"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iCs/>
                <w:color w:val="000000"/>
                <w:sz w:val="18"/>
                <w:szCs w:val="18"/>
                <w:lang w:val="nl-NL" w:eastAsia="nl-NL"/>
              </w:rPr>
            </w:pPr>
            <w:r w:rsidRPr="006E4A0D">
              <w:rPr>
                <w:rFonts w:cs="Arial"/>
                <w:iCs/>
                <w:color w:val="000000"/>
                <w:sz w:val="18"/>
                <w:szCs w:val="18"/>
                <w:lang w:val="nl-NL" w:eastAsia="nl-NL"/>
              </w:rPr>
              <w:t>ρ²</w:t>
            </w:r>
          </w:p>
        </w:tc>
        <w:tc>
          <w:tcPr>
            <w:tcW w:w="1134"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AIC</w:t>
            </w:r>
          </w:p>
        </w:tc>
        <w:tc>
          <w:tcPr>
            <w:tcW w:w="1417"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BIC</w:t>
            </w:r>
          </w:p>
        </w:tc>
        <w:tc>
          <w:tcPr>
            <w:tcW w:w="1544"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Log Likelihood</w:t>
            </w:r>
          </w:p>
        </w:tc>
        <w:tc>
          <w:tcPr>
            <w:tcW w:w="1225" w:type="dxa"/>
            <w:tcBorders>
              <w:top w:val="single" w:sz="12" w:space="0" w:color="auto"/>
              <w:left w:val="nil"/>
              <w:bottom w:val="single" w:sz="12" w:space="0" w:color="auto"/>
              <w:right w:val="nil"/>
            </w:tcBorders>
            <w:noWrap/>
            <w:vAlign w:val="bottom"/>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Parameters</w:t>
            </w:r>
          </w:p>
        </w:tc>
      </w:tr>
      <w:tr w:rsidR="003F789A" w:rsidRPr="00857048" w:rsidTr="00857048">
        <w:trPr>
          <w:trHeight w:val="298"/>
        </w:trPr>
        <w:tc>
          <w:tcPr>
            <w:tcW w:w="1999"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w:t>
            </w:r>
          </w:p>
        </w:tc>
        <w:tc>
          <w:tcPr>
            <w:tcW w:w="1134"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0.0852</w:t>
            </w:r>
          </w:p>
        </w:tc>
        <w:tc>
          <w:tcPr>
            <w:tcW w:w="1134"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eastAsia="nl-NL"/>
              </w:rPr>
              <w:t>3682.234</w:t>
            </w:r>
          </w:p>
        </w:tc>
        <w:tc>
          <w:tcPr>
            <w:tcW w:w="1417"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eastAsia="nl-NL"/>
              </w:rPr>
              <w:t>3743.424</w:t>
            </w:r>
          </w:p>
        </w:tc>
        <w:tc>
          <w:tcPr>
            <w:tcW w:w="1544"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eastAsia="nl-NL"/>
              </w:rPr>
              <w:t>-1829.16</w:t>
            </w:r>
          </w:p>
        </w:tc>
        <w:tc>
          <w:tcPr>
            <w:tcW w:w="1225" w:type="dxa"/>
            <w:tcBorders>
              <w:top w:val="single" w:sz="12" w:space="0" w:color="auto"/>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11</w:t>
            </w:r>
          </w:p>
        </w:tc>
      </w:tr>
      <w:tr w:rsidR="003F789A" w:rsidRPr="00857048" w:rsidTr="00857048">
        <w:trPr>
          <w:trHeight w:val="298"/>
        </w:trPr>
        <w:tc>
          <w:tcPr>
            <w:tcW w:w="1999"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2</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0.2336</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3289.472</w:t>
            </w:r>
          </w:p>
        </w:tc>
        <w:tc>
          <w:tcPr>
            <w:tcW w:w="1417"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3450.699</w:t>
            </w:r>
          </w:p>
        </w:tc>
        <w:tc>
          <w:tcPr>
            <w:tcW w:w="154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-1615.74</w:t>
            </w:r>
          </w:p>
        </w:tc>
        <w:tc>
          <w:tcPr>
            <w:tcW w:w="1225"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29</w:t>
            </w:r>
          </w:p>
        </w:tc>
      </w:tr>
      <w:tr w:rsidR="003F789A" w:rsidRPr="00857048" w:rsidTr="00857048">
        <w:trPr>
          <w:trHeight w:val="298"/>
        </w:trPr>
        <w:tc>
          <w:tcPr>
            <w:tcW w:w="1999"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0.2524</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3246.066</w:t>
            </w:r>
          </w:p>
        </w:tc>
        <w:tc>
          <w:tcPr>
            <w:tcW w:w="1417"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3507.365</w:t>
            </w:r>
          </w:p>
        </w:tc>
        <w:tc>
          <w:tcPr>
            <w:tcW w:w="154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-1576.03</w:t>
            </w:r>
          </w:p>
        </w:tc>
        <w:tc>
          <w:tcPr>
            <w:tcW w:w="1225"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47</w:t>
            </w:r>
          </w:p>
        </w:tc>
      </w:tr>
      <w:tr w:rsidR="003F789A" w:rsidRPr="00857048" w:rsidTr="00857048">
        <w:trPr>
          <w:trHeight w:val="298"/>
        </w:trPr>
        <w:tc>
          <w:tcPr>
            <w:tcW w:w="1999"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4</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0.2731</w:t>
            </w:r>
          </w:p>
        </w:tc>
        <w:tc>
          <w:tcPr>
            <w:tcW w:w="113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3195.008</w:t>
            </w:r>
          </w:p>
        </w:tc>
        <w:tc>
          <w:tcPr>
            <w:tcW w:w="1417"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3556.379</w:t>
            </w:r>
          </w:p>
        </w:tc>
        <w:tc>
          <w:tcPr>
            <w:tcW w:w="1544"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-1532.5</w:t>
            </w:r>
          </w:p>
        </w:tc>
        <w:tc>
          <w:tcPr>
            <w:tcW w:w="1225" w:type="dxa"/>
            <w:tcBorders>
              <w:top w:val="nil"/>
              <w:left w:val="nil"/>
              <w:bottom w:val="nil"/>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65</w:t>
            </w:r>
          </w:p>
        </w:tc>
      </w:tr>
      <w:tr w:rsidR="003F789A" w:rsidRPr="00857048" w:rsidTr="00857048">
        <w:trPr>
          <w:trHeight w:val="298"/>
        </w:trPr>
        <w:tc>
          <w:tcPr>
            <w:tcW w:w="1999"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5</w:t>
            </w:r>
          </w:p>
        </w:tc>
        <w:tc>
          <w:tcPr>
            <w:tcW w:w="1134"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0.2836</w:t>
            </w:r>
          </w:p>
        </w:tc>
        <w:tc>
          <w:tcPr>
            <w:tcW w:w="1134"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3186.558</w:t>
            </w:r>
          </w:p>
        </w:tc>
        <w:tc>
          <w:tcPr>
            <w:tcW w:w="1417"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3648.001</w:t>
            </w:r>
          </w:p>
        </w:tc>
        <w:tc>
          <w:tcPr>
            <w:tcW w:w="1544"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-1510.28</w:t>
            </w:r>
          </w:p>
        </w:tc>
        <w:tc>
          <w:tcPr>
            <w:tcW w:w="1225" w:type="dxa"/>
            <w:tcBorders>
              <w:top w:val="nil"/>
              <w:left w:val="nil"/>
              <w:bottom w:val="single" w:sz="12" w:space="0" w:color="auto"/>
              <w:right w:val="nil"/>
            </w:tcBorders>
            <w:noWrap/>
          </w:tcPr>
          <w:p w:rsidR="003F789A" w:rsidRPr="006E4A0D" w:rsidRDefault="003F789A" w:rsidP="006E4A0D">
            <w:pPr>
              <w:spacing w:after="100" w:afterAutospacing="1" w:line="240" w:lineRule="auto"/>
              <w:rPr>
                <w:rFonts w:cs="Arial"/>
                <w:color w:val="000000"/>
                <w:sz w:val="18"/>
                <w:szCs w:val="18"/>
                <w:lang w:val="nl-NL" w:eastAsia="nl-NL"/>
              </w:rPr>
            </w:pPr>
            <w:r w:rsidRPr="006E4A0D">
              <w:rPr>
                <w:rFonts w:cs="Arial"/>
                <w:color w:val="000000"/>
                <w:sz w:val="18"/>
                <w:szCs w:val="18"/>
                <w:lang w:val="nl-NL" w:eastAsia="nl-NL"/>
              </w:rPr>
              <w:t>83</w:t>
            </w:r>
          </w:p>
        </w:tc>
      </w:tr>
    </w:tbl>
    <w:p w:rsidR="003F789A" w:rsidRPr="00857048" w:rsidRDefault="003F789A" w:rsidP="00857048">
      <w:pPr>
        <w:spacing w:after="100" w:afterAutospacing="1" w:line="360" w:lineRule="auto"/>
        <w:rPr>
          <w:rFonts w:cs="Arial"/>
          <w:sz w:val="20"/>
        </w:rPr>
      </w:pPr>
    </w:p>
    <w:p w:rsidR="003F789A" w:rsidRPr="00857048" w:rsidRDefault="003F789A" w:rsidP="006E4A0D">
      <w:pPr>
        <w:spacing w:after="100" w:afterAutospacing="1" w:line="360" w:lineRule="auto"/>
        <w:rPr>
          <w:rFonts w:cs="Arial"/>
          <w:sz w:val="20"/>
        </w:rPr>
      </w:pPr>
      <w:r w:rsidRPr="00857048">
        <w:rPr>
          <w:rFonts w:cs="Arial"/>
          <w:sz w:val="20"/>
        </w:rPr>
        <w:t xml:space="preserve">The four-class LCM reveals that preferences for both the housing and landscape attributes clearly differ between groups, indicating that for most attributes preferences are quite heterogeneous (Table </w:t>
      </w:r>
      <w:r>
        <w:rPr>
          <w:rFonts w:cs="Arial"/>
          <w:sz w:val="20"/>
        </w:rPr>
        <w:t>5</w:t>
      </w:r>
      <w:r w:rsidRPr="00857048">
        <w:rPr>
          <w:rFonts w:cs="Arial"/>
          <w:sz w:val="20"/>
        </w:rPr>
        <w:t xml:space="preserve">). Probability of membership in class 1 was highest at 44.3% and lowest for class 4 at 13.3%.  </w:t>
      </w:r>
    </w:p>
    <w:p w:rsidR="003F789A" w:rsidRDefault="003F789A" w:rsidP="006E4A0D">
      <w:pPr>
        <w:spacing w:after="0" w:line="240" w:lineRule="auto"/>
        <w:rPr>
          <w:rFonts w:cs="Arial"/>
          <w:sz w:val="20"/>
        </w:rPr>
      </w:pPr>
      <w:r w:rsidRPr="00857048">
        <w:rPr>
          <w:rFonts w:cs="Arial"/>
          <w:sz w:val="20"/>
        </w:rPr>
        <w:t>Table</w:t>
      </w:r>
      <w:r>
        <w:rPr>
          <w:rFonts w:cs="Arial"/>
          <w:sz w:val="20"/>
        </w:rPr>
        <w:t>5</w:t>
      </w:r>
      <w:r w:rsidRPr="00857048">
        <w:rPr>
          <w:rFonts w:cs="Arial"/>
          <w:sz w:val="20"/>
        </w:rPr>
        <w:t>. Results from the latent class model</w:t>
      </w:r>
    </w:p>
    <w:p w:rsidR="003F789A" w:rsidRPr="00857048" w:rsidRDefault="003F789A" w:rsidP="006E4A0D">
      <w:pPr>
        <w:spacing w:after="0" w:line="240" w:lineRule="auto"/>
        <w:rPr>
          <w:rFonts w:cs="Arial"/>
          <w:sz w:val="20"/>
        </w:rPr>
      </w:pPr>
    </w:p>
    <w:tbl>
      <w:tblPr>
        <w:tblW w:w="10474" w:type="dxa"/>
        <w:tblInd w:w="-831" w:type="dxa"/>
        <w:tblLayout w:type="fixed"/>
        <w:tblCellMar>
          <w:left w:w="70" w:type="dxa"/>
          <w:right w:w="70" w:type="dxa"/>
        </w:tblCellMar>
        <w:tblLook w:val="00A0" w:firstRow="1" w:lastRow="0" w:firstColumn="1" w:lastColumn="0" w:noHBand="0" w:noVBand="0"/>
      </w:tblPr>
      <w:tblGrid>
        <w:gridCol w:w="2622"/>
        <w:gridCol w:w="1114"/>
        <w:gridCol w:w="889"/>
        <w:gridCol w:w="954"/>
        <w:gridCol w:w="851"/>
        <w:gridCol w:w="1134"/>
        <w:gridCol w:w="642"/>
        <w:gridCol w:w="1134"/>
        <w:gridCol w:w="1134"/>
      </w:tblGrid>
      <w:tr w:rsidR="003F789A" w:rsidRPr="00857048" w:rsidTr="00857048">
        <w:trPr>
          <w:trHeight w:val="300"/>
        </w:trPr>
        <w:tc>
          <w:tcPr>
            <w:tcW w:w="2622" w:type="dxa"/>
            <w:tcBorders>
              <w:top w:val="single" w:sz="12" w:space="0" w:color="auto"/>
            </w:tcBorders>
            <w:noWrap/>
          </w:tcPr>
          <w:p w:rsidR="003F789A" w:rsidRPr="006E4A0D" w:rsidRDefault="003F789A" w:rsidP="008E09A9">
            <w:pPr>
              <w:spacing w:after="0" w:line="240" w:lineRule="auto"/>
              <w:ind w:left="1662"/>
              <w:rPr>
                <w:rFonts w:cs="Arial"/>
                <w:color w:val="000000"/>
                <w:sz w:val="18"/>
                <w:szCs w:val="18"/>
                <w:lang w:eastAsia="nl-NL"/>
              </w:rPr>
            </w:pPr>
          </w:p>
        </w:tc>
        <w:tc>
          <w:tcPr>
            <w:tcW w:w="1114"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Class 1</w:t>
            </w:r>
          </w:p>
        </w:tc>
        <w:tc>
          <w:tcPr>
            <w:tcW w:w="889"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p>
        </w:tc>
        <w:tc>
          <w:tcPr>
            <w:tcW w:w="954"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Class 2</w:t>
            </w:r>
          </w:p>
        </w:tc>
        <w:tc>
          <w:tcPr>
            <w:tcW w:w="851"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p>
        </w:tc>
        <w:tc>
          <w:tcPr>
            <w:tcW w:w="1134"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Class 3</w:t>
            </w:r>
          </w:p>
        </w:tc>
        <w:tc>
          <w:tcPr>
            <w:tcW w:w="642"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p>
        </w:tc>
        <w:tc>
          <w:tcPr>
            <w:tcW w:w="1134" w:type="dxa"/>
            <w:tcBorders>
              <w:top w:val="single" w:sz="12" w:space="0" w:color="auto"/>
            </w:tcBorders>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Class 4</w:t>
            </w:r>
          </w:p>
        </w:tc>
        <w:tc>
          <w:tcPr>
            <w:tcW w:w="1134" w:type="dxa"/>
            <w:tcBorders>
              <w:top w:val="single" w:sz="12" w:space="0" w:color="auto"/>
            </w:tcBorders>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Attributes</w:t>
            </w:r>
          </w:p>
        </w:tc>
        <w:tc>
          <w:tcPr>
            <w:tcW w:w="1114"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β</w:t>
            </w:r>
          </w:p>
        </w:tc>
        <w:tc>
          <w:tcPr>
            <w:tcW w:w="889"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s.e.</w:t>
            </w:r>
          </w:p>
        </w:tc>
        <w:tc>
          <w:tcPr>
            <w:tcW w:w="954"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β</w:t>
            </w:r>
          </w:p>
        </w:tc>
        <w:tc>
          <w:tcPr>
            <w:tcW w:w="851"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s.e.</w:t>
            </w:r>
          </w:p>
        </w:tc>
        <w:tc>
          <w:tcPr>
            <w:tcW w:w="1134"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β</w:t>
            </w:r>
          </w:p>
        </w:tc>
        <w:tc>
          <w:tcPr>
            <w:tcW w:w="642"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s.e.</w:t>
            </w:r>
          </w:p>
        </w:tc>
        <w:tc>
          <w:tcPr>
            <w:tcW w:w="1134" w:type="dxa"/>
            <w:tcBorders>
              <w:bottom w:val="single" w:sz="12" w:space="0" w:color="auto"/>
            </w:tcBorders>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β</w:t>
            </w:r>
          </w:p>
        </w:tc>
        <w:tc>
          <w:tcPr>
            <w:tcW w:w="1134" w:type="dxa"/>
            <w:tcBorders>
              <w:bottom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s.e.</w:t>
            </w:r>
          </w:p>
        </w:tc>
      </w:tr>
      <w:tr w:rsidR="003F789A" w:rsidRPr="00857048" w:rsidTr="00857048">
        <w:trPr>
          <w:trHeight w:val="300"/>
        </w:trPr>
        <w:tc>
          <w:tcPr>
            <w:tcW w:w="2622"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ASC</w:t>
            </w:r>
          </w:p>
        </w:tc>
        <w:tc>
          <w:tcPr>
            <w:tcW w:w="1114" w:type="dxa"/>
            <w:tcBorders>
              <w:top w:val="single" w:sz="12" w:space="0" w:color="auto"/>
            </w:tcBorders>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-2.213***</w:t>
            </w:r>
          </w:p>
        </w:tc>
        <w:tc>
          <w:tcPr>
            <w:tcW w:w="889"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0.433</w:t>
            </w:r>
          </w:p>
        </w:tc>
        <w:tc>
          <w:tcPr>
            <w:tcW w:w="954"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-0.256</w:t>
            </w:r>
          </w:p>
        </w:tc>
        <w:tc>
          <w:tcPr>
            <w:tcW w:w="851"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0.255</w:t>
            </w:r>
          </w:p>
        </w:tc>
        <w:tc>
          <w:tcPr>
            <w:tcW w:w="1134" w:type="dxa"/>
            <w:tcBorders>
              <w:top w:val="single" w:sz="12" w:space="0" w:color="auto"/>
            </w:tcBorders>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-1.126***</w:t>
            </w:r>
          </w:p>
        </w:tc>
        <w:tc>
          <w:tcPr>
            <w:tcW w:w="642"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0.235</w:t>
            </w:r>
          </w:p>
        </w:tc>
        <w:tc>
          <w:tcPr>
            <w:tcW w:w="1134" w:type="dxa"/>
            <w:tcBorders>
              <w:top w:val="single" w:sz="12" w:space="0" w:color="auto"/>
            </w:tcBorders>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0.426</w:t>
            </w:r>
          </w:p>
        </w:tc>
        <w:tc>
          <w:tcPr>
            <w:tcW w:w="1134" w:type="dxa"/>
            <w:tcBorders>
              <w:top w:val="single" w:sz="12" w:space="0" w:color="auto"/>
            </w:tcBorders>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0.581</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Houses</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-0.001***</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0.0002</w:t>
            </w:r>
          </w:p>
        </w:tc>
        <w:tc>
          <w:tcPr>
            <w:tcW w:w="95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-0.0003</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0.0003</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-0.005***</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0.072</w:t>
            </w:r>
          </w:p>
        </w:tc>
        <w:tc>
          <w:tcPr>
            <w:tcW w:w="1134" w:type="dxa"/>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-0.018***</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0.002</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SF low</w:t>
            </w:r>
          </w:p>
        </w:tc>
        <w:tc>
          <w:tcPr>
            <w:tcW w:w="111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0.237</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0.152</w:t>
            </w:r>
          </w:p>
        </w:tc>
        <w:tc>
          <w:tcPr>
            <w:tcW w:w="95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0.223</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0.203</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0.263</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0.180</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0.774</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0.566</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SF med</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0.384**</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0.168</w:t>
            </w:r>
          </w:p>
        </w:tc>
        <w:tc>
          <w:tcPr>
            <w:tcW w:w="95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0.657***</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0.216</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0.475**</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0.187</w:t>
            </w:r>
          </w:p>
        </w:tc>
        <w:tc>
          <w:tcPr>
            <w:tcW w:w="1134" w:type="dxa"/>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1.111*</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0.591</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SF high</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0.860***</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0.167</w:t>
            </w:r>
          </w:p>
        </w:tc>
        <w:tc>
          <w:tcPr>
            <w:tcW w:w="95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0.443**</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0.197</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0.375**</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0.166</w:t>
            </w:r>
          </w:p>
        </w:tc>
        <w:tc>
          <w:tcPr>
            <w:tcW w:w="1134" w:type="dxa"/>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1.031*</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0.578</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SB low</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0.728***</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0.166</w:t>
            </w:r>
          </w:p>
        </w:tc>
        <w:tc>
          <w:tcPr>
            <w:tcW w:w="95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-0.326</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0.201</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-0.307*</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0.171</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0.451</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0.451</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SB med</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0.924***</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0.199</w:t>
            </w:r>
          </w:p>
        </w:tc>
        <w:tc>
          <w:tcPr>
            <w:tcW w:w="95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0.323</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0.214</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-0.238</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0.196</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0.397</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0.546</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SB high</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1.108***</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0.187</w:t>
            </w:r>
          </w:p>
        </w:tc>
        <w:tc>
          <w:tcPr>
            <w:tcW w:w="95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0.445**</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0.197</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-0.392**</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0.179</w:t>
            </w:r>
          </w:p>
        </w:tc>
        <w:tc>
          <w:tcPr>
            <w:tcW w:w="1134" w:type="dxa"/>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1.471***</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0.478</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BF low</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0.394**</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0.154</w:t>
            </w:r>
          </w:p>
        </w:tc>
        <w:tc>
          <w:tcPr>
            <w:tcW w:w="95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0.083</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0.190</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0.433**</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0.204</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0.197</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0.560</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BF med</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0.983***</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0.155</w:t>
            </w:r>
          </w:p>
        </w:tc>
        <w:tc>
          <w:tcPr>
            <w:tcW w:w="95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-0.397**</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0.193</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0.947***</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0.176</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-0.550</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0.573</w:t>
            </w:r>
          </w:p>
        </w:tc>
      </w:tr>
      <w:tr w:rsidR="003F789A" w:rsidRPr="00857048" w:rsidTr="00857048">
        <w:trPr>
          <w:trHeight w:val="300"/>
        </w:trPr>
        <w:tc>
          <w:tcPr>
            <w:tcW w:w="262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BF high</w:t>
            </w:r>
          </w:p>
        </w:tc>
        <w:tc>
          <w:tcPr>
            <w:tcW w:w="111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1.610***</w:t>
            </w:r>
          </w:p>
        </w:tc>
        <w:tc>
          <w:tcPr>
            <w:tcW w:w="889"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0.184</w:t>
            </w:r>
          </w:p>
        </w:tc>
        <w:tc>
          <w:tcPr>
            <w:tcW w:w="95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-0.762***</w:t>
            </w:r>
          </w:p>
        </w:tc>
        <w:tc>
          <w:tcPr>
            <w:tcW w:w="851"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0.212</w:t>
            </w:r>
          </w:p>
        </w:tc>
        <w:tc>
          <w:tcPr>
            <w:tcW w:w="1134" w:type="dxa"/>
            <w:noWrap/>
          </w:tcPr>
          <w:p w:rsidR="003F789A" w:rsidRPr="006E4A0D" w:rsidRDefault="003F789A" w:rsidP="008E09A9">
            <w:pPr>
              <w:spacing w:after="0" w:line="240" w:lineRule="auto"/>
              <w:ind w:left="1662" w:hanging="1662"/>
              <w:rPr>
                <w:rFonts w:cs="Arial"/>
                <w:bCs/>
                <w:color w:val="000000"/>
                <w:sz w:val="18"/>
                <w:szCs w:val="18"/>
                <w:lang w:val="nl-NL" w:eastAsia="nl-NL"/>
              </w:rPr>
            </w:pPr>
            <w:r w:rsidRPr="006E4A0D">
              <w:rPr>
                <w:rFonts w:cs="Arial"/>
                <w:bCs/>
                <w:color w:val="000000"/>
                <w:sz w:val="18"/>
                <w:szCs w:val="18"/>
                <w:lang w:val="nl-NL" w:eastAsia="nl-NL"/>
              </w:rPr>
              <w:t>0.489**</w:t>
            </w:r>
          </w:p>
        </w:tc>
        <w:tc>
          <w:tcPr>
            <w:tcW w:w="642"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0.192</w:t>
            </w:r>
          </w:p>
        </w:tc>
        <w:tc>
          <w:tcPr>
            <w:tcW w:w="1134" w:type="dxa"/>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0.639</w:t>
            </w:r>
          </w:p>
        </w:tc>
        <w:tc>
          <w:tcPr>
            <w:tcW w:w="1134" w:type="dxa"/>
            <w:noWrap/>
          </w:tcPr>
          <w:p w:rsidR="003F789A" w:rsidRPr="006E4A0D" w:rsidRDefault="003F789A" w:rsidP="008E09A9">
            <w:pPr>
              <w:spacing w:after="0" w:line="240" w:lineRule="auto"/>
              <w:ind w:left="1662" w:hanging="1662"/>
              <w:rPr>
                <w:rFonts w:cs="Arial"/>
                <w:color w:val="000000"/>
                <w:sz w:val="18"/>
                <w:szCs w:val="18"/>
                <w:lang w:val="nl-NL" w:eastAsia="nl-NL"/>
              </w:rPr>
            </w:pPr>
            <w:r w:rsidRPr="006E4A0D">
              <w:rPr>
                <w:rFonts w:cs="Arial"/>
                <w:color w:val="000000"/>
                <w:sz w:val="18"/>
                <w:szCs w:val="18"/>
                <w:lang w:val="nl-NL" w:eastAsia="nl-NL"/>
              </w:rPr>
              <w:t>0.470</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p>
        </w:tc>
        <w:tc>
          <w:tcPr>
            <w:tcW w:w="1114" w:type="dxa"/>
            <w:noWrap/>
          </w:tcPr>
          <w:p w:rsidR="003F789A" w:rsidRPr="006E4A0D" w:rsidRDefault="003F789A" w:rsidP="006E4A0D">
            <w:pPr>
              <w:spacing w:after="0" w:line="240" w:lineRule="auto"/>
              <w:rPr>
                <w:rFonts w:cs="Arial"/>
                <w:color w:val="000000"/>
                <w:sz w:val="18"/>
                <w:szCs w:val="18"/>
                <w:lang w:val="nl-NL" w:eastAsia="nl-NL"/>
              </w:rPr>
            </w:pPr>
          </w:p>
        </w:tc>
        <w:tc>
          <w:tcPr>
            <w:tcW w:w="889" w:type="dxa"/>
            <w:noWrap/>
          </w:tcPr>
          <w:p w:rsidR="003F789A" w:rsidRPr="006E4A0D" w:rsidRDefault="003F789A" w:rsidP="006E4A0D">
            <w:pPr>
              <w:spacing w:after="0" w:line="240" w:lineRule="auto"/>
              <w:rPr>
                <w:rFonts w:cs="Arial"/>
                <w:color w:val="000000"/>
                <w:sz w:val="18"/>
                <w:szCs w:val="18"/>
                <w:lang w:val="nl-NL" w:eastAsia="nl-NL"/>
              </w:rPr>
            </w:pPr>
          </w:p>
        </w:tc>
        <w:tc>
          <w:tcPr>
            <w:tcW w:w="954" w:type="dxa"/>
            <w:noWrap/>
          </w:tcPr>
          <w:p w:rsidR="003F789A" w:rsidRPr="006E4A0D" w:rsidRDefault="003F789A" w:rsidP="006E4A0D">
            <w:pPr>
              <w:spacing w:after="0" w:line="240" w:lineRule="auto"/>
              <w:rPr>
                <w:rFonts w:cs="Arial"/>
                <w:color w:val="000000"/>
                <w:sz w:val="18"/>
                <w:szCs w:val="18"/>
                <w:lang w:val="nl-NL" w:eastAsia="nl-NL"/>
              </w:rPr>
            </w:pPr>
          </w:p>
        </w:tc>
        <w:tc>
          <w:tcPr>
            <w:tcW w:w="851"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c>
          <w:tcPr>
            <w:tcW w:w="642"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Log Likelihood</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-1532.504</w:t>
            </w:r>
          </w:p>
        </w:tc>
        <w:tc>
          <w:tcPr>
            <w:tcW w:w="889" w:type="dxa"/>
            <w:noWrap/>
          </w:tcPr>
          <w:p w:rsidR="003F789A" w:rsidRPr="006E4A0D" w:rsidRDefault="003F789A" w:rsidP="006E4A0D">
            <w:pPr>
              <w:spacing w:after="0" w:line="240" w:lineRule="auto"/>
              <w:rPr>
                <w:rFonts w:cs="Arial"/>
                <w:color w:val="000000"/>
                <w:sz w:val="18"/>
                <w:szCs w:val="18"/>
                <w:lang w:val="nl-NL" w:eastAsia="nl-NL"/>
              </w:rPr>
            </w:pPr>
          </w:p>
        </w:tc>
        <w:tc>
          <w:tcPr>
            <w:tcW w:w="954" w:type="dxa"/>
            <w:noWrap/>
          </w:tcPr>
          <w:p w:rsidR="003F789A" w:rsidRPr="006E4A0D" w:rsidRDefault="003F789A" w:rsidP="006E4A0D">
            <w:pPr>
              <w:spacing w:after="0" w:line="240" w:lineRule="auto"/>
              <w:rPr>
                <w:rFonts w:cs="Arial"/>
                <w:color w:val="000000"/>
                <w:sz w:val="18"/>
                <w:szCs w:val="18"/>
                <w:lang w:val="nl-NL" w:eastAsia="nl-NL"/>
              </w:rPr>
            </w:pPr>
          </w:p>
        </w:tc>
        <w:tc>
          <w:tcPr>
            <w:tcW w:w="851"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c>
          <w:tcPr>
            <w:tcW w:w="642"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iCs/>
                <w:color w:val="000000"/>
                <w:sz w:val="18"/>
                <w:szCs w:val="18"/>
                <w:lang w:val="nl-NL" w:eastAsia="nl-NL"/>
              </w:rPr>
            </w:pPr>
            <w:r w:rsidRPr="006E4A0D">
              <w:rPr>
                <w:rFonts w:cs="Arial"/>
                <w:iCs/>
                <w:color w:val="000000"/>
                <w:sz w:val="18"/>
                <w:szCs w:val="18"/>
                <w:lang w:val="nl-NL" w:eastAsia="nl-NL"/>
              </w:rPr>
              <w:t>McFadden Pseudo ρ²</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0.2730875</w:t>
            </w:r>
          </w:p>
        </w:tc>
        <w:tc>
          <w:tcPr>
            <w:tcW w:w="889" w:type="dxa"/>
            <w:noWrap/>
          </w:tcPr>
          <w:p w:rsidR="003F789A" w:rsidRPr="006E4A0D" w:rsidRDefault="003F789A" w:rsidP="006E4A0D">
            <w:pPr>
              <w:spacing w:after="0" w:line="240" w:lineRule="auto"/>
              <w:rPr>
                <w:rFonts w:cs="Arial"/>
                <w:color w:val="000000"/>
                <w:sz w:val="18"/>
                <w:szCs w:val="18"/>
                <w:lang w:val="nl-NL" w:eastAsia="nl-NL"/>
              </w:rPr>
            </w:pPr>
          </w:p>
        </w:tc>
        <w:tc>
          <w:tcPr>
            <w:tcW w:w="954" w:type="dxa"/>
            <w:noWrap/>
          </w:tcPr>
          <w:p w:rsidR="003F789A" w:rsidRPr="006E4A0D" w:rsidRDefault="003F789A" w:rsidP="006E4A0D">
            <w:pPr>
              <w:spacing w:after="0" w:line="240" w:lineRule="auto"/>
              <w:rPr>
                <w:rFonts w:cs="Arial"/>
                <w:color w:val="000000"/>
                <w:sz w:val="18"/>
                <w:szCs w:val="18"/>
                <w:lang w:val="nl-NL" w:eastAsia="nl-NL"/>
              </w:rPr>
            </w:pPr>
          </w:p>
        </w:tc>
        <w:tc>
          <w:tcPr>
            <w:tcW w:w="851"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c>
          <w:tcPr>
            <w:tcW w:w="642"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p>
        </w:tc>
        <w:tc>
          <w:tcPr>
            <w:tcW w:w="1114" w:type="dxa"/>
            <w:noWrap/>
          </w:tcPr>
          <w:p w:rsidR="003F789A" w:rsidRPr="006E4A0D" w:rsidRDefault="003F789A" w:rsidP="006E4A0D">
            <w:pPr>
              <w:spacing w:after="0" w:line="240" w:lineRule="auto"/>
              <w:rPr>
                <w:rFonts w:cs="Arial"/>
                <w:color w:val="000000"/>
                <w:sz w:val="18"/>
                <w:szCs w:val="18"/>
                <w:lang w:val="nl-NL" w:eastAsia="nl-NL"/>
              </w:rPr>
            </w:pPr>
          </w:p>
        </w:tc>
        <w:tc>
          <w:tcPr>
            <w:tcW w:w="889" w:type="dxa"/>
            <w:noWrap/>
          </w:tcPr>
          <w:p w:rsidR="003F789A" w:rsidRPr="006E4A0D" w:rsidRDefault="003F789A" w:rsidP="006E4A0D">
            <w:pPr>
              <w:spacing w:after="0" w:line="240" w:lineRule="auto"/>
              <w:rPr>
                <w:rFonts w:cs="Arial"/>
                <w:color w:val="000000"/>
                <w:sz w:val="18"/>
                <w:szCs w:val="18"/>
                <w:lang w:val="nl-NL" w:eastAsia="nl-NL"/>
              </w:rPr>
            </w:pPr>
          </w:p>
        </w:tc>
        <w:tc>
          <w:tcPr>
            <w:tcW w:w="954" w:type="dxa"/>
            <w:noWrap/>
          </w:tcPr>
          <w:p w:rsidR="003F789A" w:rsidRPr="006E4A0D" w:rsidRDefault="003F789A" w:rsidP="006E4A0D">
            <w:pPr>
              <w:spacing w:after="0" w:line="240" w:lineRule="auto"/>
              <w:rPr>
                <w:rFonts w:cs="Arial"/>
                <w:color w:val="000000"/>
                <w:sz w:val="18"/>
                <w:szCs w:val="18"/>
                <w:lang w:val="nl-NL" w:eastAsia="nl-NL"/>
              </w:rPr>
            </w:pPr>
          </w:p>
        </w:tc>
        <w:tc>
          <w:tcPr>
            <w:tcW w:w="851"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c>
          <w:tcPr>
            <w:tcW w:w="642"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tcPr>
          <w:p w:rsidR="003F789A" w:rsidRPr="006E4A0D" w:rsidRDefault="003F789A" w:rsidP="006E4A0D">
            <w:pPr>
              <w:spacing w:after="0" w:line="240" w:lineRule="auto"/>
              <w:rPr>
                <w:rFonts w:cs="Arial"/>
                <w:bCs/>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lastRenderedPageBreak/>
              <w:t>Class function probabilities</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0.443</w:t>
            </w:r>
          </w:p>
        </w:tc>
        <w:tc>
          <w:tcPr>
            <w:tcW w:w="889" w:type="dxa"/>
            <w:noWrap/>
          </w:tcPr>
          <w:p w:rsidR="003F789A" w:rsidRPr="006E4A0D" w:rsidRDefault="003F789A" w:rsidP="006E4A0D">
            <w:pPr>
              <w:spacing w:after="0" w:line="240" w:lineRule="auto"/>
              <w:rPr>
                <w:rFonts w:cs="Arial"/>
                <w:color w:val="000000"/>
                <w:sz w:val="18"/>
                <w:szCs w:val="18"/>
                <w:lang w:val="nl-NL" w:eastAsia="nl-NL"/>
              </w:rPr>
            </w:pP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0.153</w:t>
            </w:r>
          </w:p>
        </w:tc>
        <w:tc>
          <w:tcPr>
            <w:tcW w:w="851" w:type="dxa"/>
            <w:noWrap/>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0.272</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0.133</w:t>
            </w:r>
          </w:p>
        </w:tc>
        <w:tc>
          <w:tcPr>
            <w:tcW w:w="1134" w:type="dxa"/>
          </w:tcPr>
          <w:p w:rsidR="003F789A" w:rsidRPr="006E4A0D" w:rsidRDefault="003F789A" w:rsidP="006E4A0D">
            <w:pPr>
              <w:spacing w:after="0" w:line="240" w:lineRule="auto"/>
              <w:rPr>
                <w:rFonts w:cs="Arial"/>
                <w:color w:val="000000"/>
                <w:sz w:val="18"/>
                <w:szCs w:val="18"/>
                <w:lang w:val="nl-NL" w:eastAsia="nl-NL"/>
              </w:rPr>
            </w:pPr>
          </w:p>
        </w:tc>
        <w:tc>
          <w:tcPr>
            <w:tcW w:w="1134" w:type="dxa"/>
            <w:noWrap/>
          </w:tcPr>
          <w:p w:rsidR="003F789A" w:rsidRPr="006E4A0D" w:rsidRDefault="003F789A" w:rsidP="006E4A0D">
            <w:pPr>
              <w:spacing w:after="0" w:line="240" w:lineRule="auto"/>
              <w:rPr>
                <w:rFonts w:cs="Arial"/>
                <w:color w:val="000000"/>
                <w:sz w:val="18"/>
                <w:szCs w:val="18"/>
                <w:lang w:val="nl-NL" w:eastAsia="nl-NL"/>
              </w:rPr>
            </w:pP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Constant</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1.629</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0.905</w:t>
            </w: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-0.899</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1.157</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-0.566</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1.086</w:t>
            </w:r>
          </w:p>
        </w:tc>
        <w:tc>
          <w:tcPr>
            <w:tcW w:w="1134" w:type="dxa"/>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Urban</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0.472</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0.555</w:t>
            </w:r>
          </w:p>
        </w:tc>
        <w:tc>
          <w:tcPr>
            <w:tcW w:w="954" w:type="dxa"/>
            <w:noWrap/>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1.195*</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0.695</w:t>
            </w:r>
          </w:p>
        </w:tc>
        <w:tc>
          <w:tcPr>
            <w:tcW w:w="1134" w:type="dxa"/>
            <w:noWrap/>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-0.194</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0.699</w:t>
            </w:r>
          </w:p>
        </w:tc>
        <w:tc>
          <w:tcPr>
            <w:tcW w:w="1134" w:type="dxa"/>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Age</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0.010</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0.015</w:t>
            </w: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-0.014</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0.020</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0.027</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0.018</w:t>
            </w:r>
          </w:p>
        </w:tc>
        <w:tc>
          <w:tcPr>
            <w:tcW w:w="1134" w:type="dxa"/>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Grow up</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-0.735</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0.510</w:t>
            </w:r>
          </w:p>
        </w:tc>
        <w:tc>
          <w:tcPr>
            <w:tcW w:w="954" w:type="dxa"/>
            <w:noWrap/>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-1.485**</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0.665</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-1.283**</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0.588</w:t>
            </w:r>
          </w:p>
        </w:tc>
        <w:tc>
          <w:tcPr>
            <w:tcW w:w="1134" w:type="dxa"/>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Biodiversity</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-0.221</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0.494</w:t>
            </w: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-1.026</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0.640</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.610</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0.601</w:t>
            </w:r>
          </w:p>
        </w:tc>
        <w:tc>
          <w:tcPr>
            <w:tcW w:w="1134" w:type="dxa"/>
          </w:tcPr>
          <w:p w:rsidR="003F789A" w:rsidRPr="006E4A0D" w:rsidRDefault="003F789A" w:rsidP="006E4A0D">
            <w:pPr>
              <w:spacing w:after="0" w:line="240" w:lineRule="auto"/>
              <w:rPr>
                <w:rFonts w:cs="Arial"/>
                <w:bCs/>
                <w:color w:val="000000"/>
                <w:sz w:val="18"/>
                <w:szCs w:val="18"/>
                <w:lang w:val="nl-NL" w:eastAsia="nl-NL"/>
              </w:rPr>
            </w:pPr>
            <w:r w:rsidRPr="006E4A0D">
              <w:rPr>
                <w:rFonts w:cs="Arial"/>
                <w:bCs/>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Recreation</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-0.478</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0.497</w:t>
            </w: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-.455</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0.659</w:t>
            </w:r>
          </w:p>
        </w:tc>
        <w:tc>
          <w:tcPr>
            <w:tcW w:w="1134" w:type="dxa"/>
            <w:noWrap/>
          </w:tcPr>
          <w:p w:rsidR="003F789A" w:rsidRPr="006E4A0D" w:rsidRDefault="003F789A" w:rsidP="006E4A0D">
            <w:pPr>
              <w:spacing w:after="0" w:line="240" w:lineRule="auto"/>
              <w:rPr>
                <w:rFonts w:cs="Arial"/>
                <w:bCs/>
                <w:color w:val="000000"/>
                <w:sz w:val="18"/>
                <w:szCs w:val="18"/>
                <w:lang w:val="nl-NL" w:eastAsia="nl-NL"/>
              </w:rPr>
            </w:pPr>
            <w:r w:rsidRPr="006E4A0D">
              <w:rPr>
                <w:rFonts w:cs="Arial"/>
                <w:color w:val="000000"/>
                <w:sz w:val="18"/>
                <w:szCs w:val="18"/>
                <w:lang w:val="nl-NL" w:eastAsia="nl-NL"/>
              </w:rPr>
              <w:t>-1.243**</w:t>
            </w:r>
          </w:p>
        </w:tc>
        <w:tc>
          <w:tcPr>
            <w:tcW w:w="64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0.597</w:t>
            </w:r>
          </w:p>
        </w:tc>
        <w:tc>
          <w:tcPr>
            <w:tcW w:w="1134" w:type="dxa"/>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r>
      <w:tr w:rsidR="003F789A" w:rsidRPr="00857048" w:rsidTr="00857048">
        <w:trPr>
          <w:trHeight w:val="300"/>
        </w:trPr>
        <w:tc>
          <w:tcPr>
            <w:tcW w:w="2622"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Traditional character</w:t>
            </w:r>
          </w:p>
        </w:tc>
        <w:tc>
          <w:tcPr>
            <w:tcW w:w="111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-0.292</w:t>
            </w:r>
          </w:p>
        </w:tc>
        <w:tc>
          <w:tcPr>
            <w:tcW w:w="889"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0.492</w:t>
            </w:r>
          </w:p>
        </w:tc>
        <w:tc>
          <w:tcPr>
            <w:tcW w:w="954"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-0.605</w:t>
            </w:r>
          </w:p>
        </w:tc>
        <w:tc>
          <w:tcPr>
            <w:tcW w:w="851" w:type="dxa"/>
            <w:noWrap/>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0.660</w:t>
            </w:r>
          </w:p>
        </w:tc>
        <w:tc>
          <w:tcPr>
            <w:tcW w:w="1134" w:type="dxa"/>
            <w:noWrap/>
          </w:tcPr>
          <w:p w:rsidR="003F789A" w:rsidRPr="006E4A0D" w:rsidRDefault="003F789A" w:rsidP="006E4A0D">
            <w:pPr>
              <w:spacing w:after="0" w:line="240" w:lineRule="auto"/>
              <w:rPr>
                <w:rFonts w:cs="Arial"/>
                <w:color w:val="000000"/>
                <w:sz w:val="18"/>
                <w:szCs w:val="18"/>
                <w:lang w:eastAsia="nl-NL"/>
              </w:rPr>
            </w:pPr>
            <w:r w:rsidRPr="006E4A0D">
              <w:rPr>
                <w:rFonts w:cs="Arial"/>
                <w:color w:val="000000"/>
                <w:sz w:val="18"/>
                <w:szCs w:val="18"/>
                <w:lang w:eastAsia="nl-NL"/>
              </w:rPr>
              <w:t>-.547</w:t>
            </w:r>
          </w:p>
        </w:tc>
        <w:tc>
          <w:tcPr>
            <w:tcW w:w="642" w:type="dxa"/>
            <w:noWrap/>
          </w:tcPr>
          <w:p w:rsidR="003F789A" w:rsidRPr="006E4A0D" w:rsidRDefault="003F789A" w:rsidP="006E4A0D">
            <w:pPr>
              <w:spacing w:after="0" w:line="240" w:lineRule="auto"/>
              <w:rPr>
                <w:rFonts w:cs="Arial"/>
                <w:color w:val="000000"/>
                <w:sz w:val="18"/>
                <w:szCs w:val="18"/>
                <w:lang w:eastAsia="nl-NL"/>
              </w:rPr>
            </w:pPr>
            <w:r w:rsidRPr="006E4A0D">
              <w:rPr>
                <w:rFonts w:cs="Arial"/>
                <w:color w:val="000000"/>
                <w:sz w:val="18"/>
                <w:szCs w:val="18"/>
                <w:lang w:eastAsia="nl-NL"/>
              </w:rPr>
              <w:t>0.573</w:t>
            </w:r>
          </w:p>
        </w:tc>
        <w:tc>
          <w:tcPr>
            <w:tcW w:w="1134" w:type="dxa"/>
          </w:tcPr>
          <w:p w:rsidR="003F789A" w:rsidRPr="006E4A0D" w:rsidRDefault="003F789A" w:rsidP="006E4A0D">
            <w:pPr>
              <w:spacing w:after="0" w:line="240" w:lineRule="auto"/>
              <w:rPr>
                <w:rFonts w:cs="Arial"/>
                <w:color w:val="000000"/>
                <w:sz w:val="18"/>
                <w:szCs w:val="18"/>
                <w:lang w:val="nl-NL" w:eastAsia="nl-NL"/>
              </w:rPr>
            </w:pPr>
            <w:r w:rsidRPr="006E4A0D">
              <w:rPr>
                <w:rFonts w:cs="Arial"/>
                <w:color w:val="000000"/>
                <w:sz w:val="18"/>
                <w:szCs w:val="18"/>
                <w:lang w:val="nl-NL" w:eastAsia="nl-NL"/>
              </w:rPr>
              <w:t>-</w:t>
            </w:r>
          </w:p>
        </w:tc>
        <w:tc>
          <w:tcPr>
            <w:tcW w:w="1134" w:type="dxa"/>
            <w:noWrap/>
          </w:tcPr>
          <w:p w:rsidR="003F789A" w:rsidRPr="006E4A0D" w:rsidRDefault="003F789A" w:rsidP="006E4A0D">
            <w:pPr>
              <w:spacing w:after="0" w:line="240" w:lineRule="auto"/>
              <w:rPr>
                <w:rFonts w:cs="Arial"/>
                <w:color w:val="000000"/>
                <w:sz w:val="18"/>
                <w:szCs w:val="18"/>
                <w:lang w:eastAsia="nl-NL"/>
              </w:rPr>
            </w:pPr>
            <w:r w:rsidRPr="006E4A0D">
              <w:rPr>
                <w:rFonts w:cs="Arial"/>
                <w:color w:val="000000"/>
                <w:sz w:val="18"/>
                <w:szCs w:val="18"/>
                <w:lang w:eastAsia="nl-NL"/>
              </w:rPr>
              <w:t>-</w:t>
            </w:r>
          </w:p>
        </w:tc>
      </w:tr>
      <w:tr w:rsidR="003F789A" w:rsidRPr="00857048" w:rsidTr="00857048">
        <w:trPr>
          <w:trHeight w:val="300"/>
        </w:trPr>
        <w:tc>
          <w:tcPr>
            <w:tcW w:w="2622"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1114"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889"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954"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851"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1134"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642"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c>
          <w:tcPr>
            <w:tcW w:w="1134" w:type="dxa"/>
            <w:tcBorders>
              <w:bottom w:val="single" w:sz="12" w:space="0" w:color="auto"/>
            </w:tcBorders>
          </w:tcPr>
          <w:p w:rsidR="003F789A" w:rsidRPr="006E4A0D" w:rsidRDefault="003F789A" w:rsidP="006E4A0D">
            <w:pPr>
              <w:spacing w:after="0" w:line="240" w:lineRule="auto"/>
              <w:rPr>
                <w:rFonts w:cs="Arial"/>
                <w:color w:val="000000"/>
                <w:sz w:val="18"/>
                <w:szCs w:val="18"/>
                <w:lang w:val="nl-NL" w:eastAsia="nl-NL"/>
              </w:rPr>
            </w:pPr>
          </w:p>
        </w:tc>
        <w:tc>
          <w:tcPr>
            <w:tcW w:w="1134" w:type="dxa"/>
            <w:tcBorders>
              <w:bottom w:val="single" w:sz="12" w:space="0" w:color="auto"/>
            </w:tcBorders>
            <w:noWrap/>
          </w:tcPr>
          <w:p w:rsidR="003F789A" w:rsidRPr="006E4A0D" w:rsidRDefault="003F789A" w:rsidP="006E4A0D">
            <w:pPr>
              <w:spacing w:after="0" w:line="240" w:lineRule="auto"/>
              <w:rPr>
                <w:rFonts w:cs="Arial"/>
                <w:color w:val="000000"/>
                <w:sz w:val="18"/>
                <w:szCs w:val="18"/>
                <w:lang w:eastAsia="nl-NL"/>
              </w:rPr>
            </w:pPr>
          </w:p>
        </w:tc>
      </w:tr>
    </w:tbl>
    <w:p w:rsidR="003F789A" w:rsidRPr="006E4A0D" w:rsidRDefault="003F789A" w:rsidP="00857048">
      <w:pPr>
        <w:spacing w:after="100" w:afterAutospacing="1" w:line="360" w:lineRule="auto"/>
        <w:rPr>
          <w:rFonts w:cs="Arial"/>
          <w:sz w:val="18"/>
          <w:szCs w:val="18"/>
        </w:rPr>
      </w:pPr>
      <w:r w:rsidRPr="006E4A0D">
        <w:rPr>
          <w:rFonts w:cs="Arial"/>
          <w:sz w:val="18"/>
          <w:szCs w:val="18"/>
        </w:rPr>
        <w:t>*significant at 0.1, **significant at 0.05, ***significant at 0.01</w:t>
      </w:r>
    </w:p>
    <w:p w:rsidR="003F789A" w:rsidRPr="00857048" w:rsidRDefault="003F789A" w:rsidP="006E4A0D">
      <w:pPr>
        <w:spacing w:after="100" w:afterAutospacing="1" w:line="360" w:lineRule="auto"/>
        <w:rPr>
          <w:rFonts w:cs="Arial"/>
          <w:sz w:val="20"/>
        </w:rPr>
      </w:pPr>
      <w:r w:rsidRPr="00857048">
        <w:rPr>
          <w:rFonts w:cs="Arial"/>
          <w:sz w:val="20"/>
        </w:rPr>
        <w:t xml:space="preserve">The ASC is not significant for all groups; only class 1 and class 3 show significant negative coefficients for the ASC, meaning that it was only in these two groups that respondents were more likely to choose one of the two alternatives with environmental compensation rather than the status quo. The coefficient for the housing attribute was negative and significant for all classes, except for class 2, indicating that for this class the amount of houses did not play a significant role in choosing for a certain alternative. </w:t>
      </w:r>
    </w:p>
    <w:p w:rsidR="003F789A" w:rsidRPr="00857048" w:rsidRDefault="003F789A" w:rsidP="006E4A0D">
      <w:pPr>
        <w:spacing w:after="100" w:afterAutospacing="1" w:line="360" w:lineRule="auto"/>
        <w:rPr>
          <w:rFonts w:cs="Arial"/>
          <w:sz w:val="20"/>
        </w:rPr>
      </w:pPr>
      <w:r w:rsidRPr="00857048">
        <w:rPr>
          <w:rFonts w:cs="Arial"/>
          <w:sz w:val="20"/>
        </w:rPr>
        <w:t xml:space="preserve">Looking at the significance of the coefficients for the woodland attributes, it is clear that respondents in class 1 and class 3 were more positive towards woodland restoration than the other two groups. Class 1 had a high preference for alternatives including high levels of broadleaved forest and shelterbelts, while class 3 rather avoided options with high levels of shelterbelts. For respondents in class 2, softwood forest and high levels of shelterbelts were most important. Respondents in this class had a negative preference for broadleaved forest.  For class 4, only the presence of high levels of shelterbelts played a highly significant role in the choice of alternatives. The coefficient for softwood forest was slightly significant. </w:t>
      </w:r>
    </w:p>
    <w:p w:rsidR="003F789A" w:rsidRPr="00857048" w:rsidRDefault="003F789A" w:rsidP="009428C7">
      <w:pPr>
        <w:spacing w:after="100" w:afterAutospacing="1" w:line="360" w:lineRule="auto"/>
        <w:rPr>
          <w:rFonts w:cs="Arial"/>
          <w:sz w:val="20"/>
        </w:rPr>
      </w:pPr>
      <w:r w:rsidRPr="00857048">
        <w:rPr>
          <w:rFonts w:cs="Arial"/>
          <w:sz w:val="20"/>
        </w:rPr>
        <w:t xml:space="preserve">The parameter estimates for the socio-economic and </w:t>
      </w:r>
      <w:r>
        <w:rPr>
          <w:rFonts w:cs="Arial"/>
          <w:sz w:val="20"/>
        </w:rPr>
        <w:t>ES</w:t>
      </w:r>
      <w:r w:rsidRPr="00857048">
        <w:rPr>
          <w:rFonts w:cs="Arial"/>
          <w:sz w:val="20"/>
        </w:rPr>
        <w:t xml:space="preserve"> variables in the lower portion of table 6, reveal some information about the sources of heterogeneity. The parameters for class 4 are normalized to 0 for estimation, so the estimates for the first three classes are evaluated relative to class 4. None of the socio-economic variables were significant for the first class. Respondents who did not grow up in East Lothian were more likely to be part of class 2 or class 3. The negative parameter for the recreation variable indicates that respondents who recreate in the East Lothian countryside were less likely to be part of class 3. Respondents who lived in urban settlements  were more likely to be part of class 2 and</w:t>
      </w:r>
      <w:r>
        <w:rPr>
          <w:rFonts w:cs="Arial"/>
          <w:sz w:val="20"/>
        </w:rPr>
        <w:t xml:space="preserve"> </w:t>
      </w:r>
      <w:r w:rsidRPr="00857048">
        <w:rPr>
          <w:rFonts w:cs="Arial"/>
          <w:sz w:val="20"/>
        </w:rPr>
        <w:t>may explain why the housing attribute was not significant for this group, indicating that urban residents have a more positive attitude towards with additional housing than rural residents.</w:t>
      </w:r>
    </w:p>
    <w:p w:rsidR="003F789A" w:rsidRPr="006D566F" w:rsidRDefault="003F789A" w:rsidP="00934054">
      <w:pPr>
        <w:keepNext/>
        <w:rPr>
          <w:b/>
          <w:i/>
          <w:sz w:val="20"/>
        </w:rPr>
      </w:pPr>
      <w:r w:rsidRPr="006D566F">
        <w:rPr>
          <w:b/>
          <w:i/>
          <w:sz w:val="20"/>
        </w:rPr>
        <w:lastRenderedPageBreak/>
        <w:t>Substitution between housing and environmental compensation</w:t>
      </w:r>
    </w:p>
    <w:p w:rsidR="003F789A" w:rsidRPr="00857048" w:rsidRDefault="003F789A" w:rsidP="00934054">
      <w:pPr>
        <w:keepNext/>
        <w:spacing w:after="100" w:afterAutospacing="1" w:line="360" w:lineRule="auto"/>
        <w:rPr>
          <w:rFonts w:cs="Arial"/>
          <w:sz w:val="20"/>
        </w:rPr>
      </w:pPr>
      <w:r w:rsidRPr="00857048">
        <w:rPr>
          <w:rFonts w:cs="Arial"/>
          <w:sz w:val="20"/>
        </w:rPr>
        <w:t xml:space="preserve">To show differences between the CL model and the LCM we calculated the MRS for both models (Table 7). We also discuss the differences between 3 classes of the LCM. We did not calculate the MRS for class 2, since the housing attribute was not significant. </w:t>
      </w:r>
    </w:p>
    <w:p w:rsidR="003F789A" w:rsidRPr="00857048" w:rsidRDefault="003F789A" w:rsidP="006E4A0D">
      <w:pPr>
        <w:spacing w:after="100" w:afterAutospacing="1" w:line="360" w:lineRule="auto"/>
        <w:rPr>
          <w:rFonts w:cs="Arial"/>
          <w:sz w:val="20"/>
        </w:rPr>
      </w:pPr>
      <w:r w:rsidRPr="00857048">
        <w:rPr>
          <w:rFonts w:cs="Arial"/>
          <w:sz w:val="20"/>
        </w:rPr>
        <w:t xml:space="preserve">The CL model showed that, on average, the MRS increases with higher levels of environmental compensation, indicating that people are willing to allow a higher level of housing when more woodland restoration takes place. This is also the case for the first group of the latent class model, where respondents displayed a relatively high MRS for all woodland restoration attributes. For high levels of shelterbelts and broadleaved forests, respondents in this class are willing to allow the development of more than a 1000 houses in East Lothian. By comparison, the results reveal a considerably lower MRS for the woodland restoration attributes for respondents in class 3 and class 4. In class 3, the maximum amount of houses people were willing to allow was 189, for medium levels of broadleaved forest, and in class 4 the maximum amount of houses people were willing to allow, for high levels of shelterbelts, is 82. </w:t>
      </w:r>
    </w:p>
    <w:p w:rsidR="003F789A" w:rsidRPr="0074595A" w:rsidRDefault="003F789A" w:rsidP="0074595A">
      <w:pPr>
        <w:spacing w:after="0" w:line="360" w:lineRule="auto"/>
        <w:rPr>
          <w:rFonts w:cs="Arial"/>
          <w:sz w:val="18"/>
          <w:szCs w:val="18"/>
        </w:rPr>
      </w:pPr>
      <w:r w:rsidRPr="0074595A">
        <w:rPr>
          <w:rFonts w:cs="Arial"/>
          <w:sz w:val="18"/>
          <w:szCs w:val="18"/>
        </w:rPr>
        <w:t>Table 7. Marginal rates of substitution between housing and woodland attributes for the CL and LCM model</w:t>
      </w:r>
    </w:p>
    <w:tbl>
      <w:tblPr>
        <w:tblW w:w="9228" w:type="dxa"/>
        <w:tblInd w:w="56" w:type="dxa"/>
        <w:tblCellMar>
          <w:left w:w="70" w:type="dxa"/>
          <w:right w:w="70" w:type="dxa"/>
        </w:tblCellMar>
        <w:tblLook w:val="00A0" w:firstRow="1" w:lastRow="0" w:firstColumn="1" w:lastColumn="0" w:noHBand="0" w:noVBand="0"/>
      </w:tblPr>
      <w:tblGrid>
        <w:gridCol w:w="1290"/>
        <w:gridCol w:w="709"/>
        <w:gridCol w:w="709"/>
        <w:gridCol w:w="850"/>
        <w:gridCol w:w="851"/>
        <w:gridCol w:w="992"/>
        <w:gridCol w:w="709"/>
        <w:gridCol w:w="850"/>
        <w:gridCol w:w="709"/>
        <w:gridCol w:w="850"/>
        <w:gridCol w:w="709"/>
      </w:tblGrid>
      <w:tr w:rsidR="003F789A" w:rsidRPr="00857048" w:rsidTr="00857048">
        <w:trPr>
          <w:trHeight w:val="300"/>
        </w:trPr>
        <w:tc>
          <w:tcPr>
            <w:tcW w:w="1290" w:type="dxa"/>
            <w:tcBorders>
              <w:top w:val="single" w:sz="18" w:space="0" w:color="auto"/>
            </w:tcBorders>
          </w:tcPr>
          <w:p w:rsidR="003F789A" w:rsidRPr="0074595A" w:rsidRDefault="003F789A" w:rsidP="0074595A">
            <w:pPr>
              <w:spacing w:after="100" w:afterAutospacing="1" w:line="240" w:lineRule="auto"/>
              <w:rPr>
                <w:rFonts w:cs="Arial"/>
                <w:color w:val="000000"/>
                <w:sz w:val="18"/>
                <w:szCs w:val="18"/>
                <w:lang w:eastAsia="nl-NL"/>
              </w:rPr>
            </w:pPr>
          </w:p>
        </w:tc>
        <w:tc>
          <w:tcPr>
            <w:tcW w:w="1418" w:type="dxa"/>
            <w:gridSpan w:val="2"/>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w:t>
            </w: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Class 1</w:t>
            </w:r>
          </w:p>
        </w:tc>
        <w:tc>
          <w:tcPr>
            <w:tcW w:w="851"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w:t>
            </w:r>
          </w:p>
        </w:tc>
        <w:tc>
          <w:tcPr>
            <w:tcW w:w="992"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Class 2</w:t>
            </w: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w:t>
            </w: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Class 3</w:t>
            </w: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w:t>
            </w: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Class 4</w:t>
            </w: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w:t>
            </w:r>
          </w:p>
        </w:tc>
      </w:tr>
      <w:tr w:rsidR="003F789A" w:rsidRPr="00857048" w:rsidTr="00857048">
        <w:trPr>
          <w:trHeight w:val="300"/>
        </w:trPr>
        <w:tc>
          <w:tcPr>
            <w:tcW w:w="1290" w:type="dxa"/>
            <w:tcBorders>
              <w:bottom w:val="single" w:sz="18" w:space="0" w:color="auto"/>
            </w:tcBorders>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Attributes</w:t>
            </w:r>
          </w:p>
        </w:tc>
        <w:tc>
          <w:tcPr>
            <w:tcW w:w="709"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MRS</w:t>
            </w:r>
          </w:p>
        </w:tc>
        <w:tc>
          <w:tcPr>
            <w:tcW w:w="709"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Rank</w:t>
            </w:r>
          </w:p>
        </w:tc>
        <w:tc>
          <w:tcPr>
            <w:tcW w:w="850"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MRS</w:t>
            </w:r>
          </w:p>
        </w:tc>
        <w:tc>
          <w:tcPr>
            <w:tcW w:w="851"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Rank</w:t>
            </w:r>
          </w:p>
        </w:tc>
        <w:tc>
          <w:tcPr>
            <w:tcW w:w="992"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MRS</w:t>
            </w:r>
          </w:p>
        </w:tc>
        <w:tc>
          <w:tcPr>
            <w:tcW w:w="709"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Rank</w:t>
            </w:r>
          </w:p>
        </w:tc>
        <w:tc>
          <w:tcPr>
            <w:tcW w:w="850"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MRS</w:t>
            </w:r>
          </w:p>
        </w:tc>
        <w:tc>
          <w:tcPr>
            <w:tcW w:w="709"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Rank</w:t>
            </w:r>
          </w:p>
        </w:tc>
        <w:tc>
          <w:tcPr>
            <w:tcW w:w="850"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MRS</w:t>
            </w:r>
          </w:p>
        </w:tc>
        <w:tc>
          <w:tcPr>
            <w:tcW w:w="709" w:type="dxa"/>
            <w:tcBorders>
              <w:bottom w:val="single" w:sz="12"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Rank</w:t>
            </w:r>
          </w:p>
        </w:tc>
      </w:tr>
      <w:tr w:rsidR="003F789A" w:rsidRPr="00857048" w:rsidTr="00857048">
        <w:trPr>
          <w:trHeight w:val="300"/>
        </w:trPr>
        <w:tc>
          <w:tcPr>
            <w:tcW w:w="1290" w:type="dxa"/>
            <w:tcBorders>
              <w:top w:val="single" w:sz="18" w:space="0" w:color="auto"/>
            </w:tcBorders>
          </w:tcPr>
          <w:p w:rsidR="003F789A" w:rsidRPr="0074595A" w:rsidRDefault="003F789A" w:rsidP="0074595A">
            <w:pPr>
              <w:spacing w:after="100" w:afterAutospacing="1" w:line="240" w:lineRule="auto"/>
              <w:rPr>
                <w:rFonts w:cs="Arial"/>
                <w:color w:val="000000"/>
                <w:sz w:val="18"/>
                <w:szCs w:val="18"/>
                <w:lang w:val="nl-NL" w:eastAsia="nl-NL"/>
              </w:rPr>
            </w:pP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851"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992"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850"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c>
          <w:tcPr>
            <w:tcW w:w="709" w:type="dxa"/>
            <w:tcBorders>
              <w:top w:val="single" w:sz="18" w:space="0" w:color="auto"/>
            </w:tcBorders>
            <w:noWrap/>
            <w:vAlign w:val="center"/>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SFlow</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SFmed</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183</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7</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384</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8</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95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57</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SFhigh</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268</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6</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860</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5</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75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5</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SBlow</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95.5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8</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728</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6</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-61</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SBmed</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192.5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4</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924</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4</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SBhigh</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227</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1108</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-78</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82</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BFlow</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140.5</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5</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394</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7</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87</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4</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r w:rsidR="003F789A" w:rsidRPr="00857048" w:rsidTr="00857048">
        <w:trPr>
          <w:trHeight w:val="300"/>
        </w:trPr>
        <w:tc>
          <w:tcPr>
            <w:tcW w:w="1290" w:type="dxa"/>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BFmed</w:t>
            </w:r>
            <w:proofErr w:type="spellEnd"/>
          </w:p>
        </w:tc>
        <w:tc>
          <w:tcPr>
            <w:tcW w:w="709" w:type="dxa"/>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273</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983</w:t>
            </w:r>
          </w:p>
        </w:tc>
        <w:tc>
          <w:tcPr>
            <w:tcW w:w="851"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3</w:t>
            </w:r>
          </w:p>
        </w:tc>
        <w:tc>
          <w:tcPr>
            <w:tcW w:w="992"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189</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w:t>
            </w:r>
          </w:p>
        </w:tc>
        <w:tc>
          <w:tcPr>
            <w:tcW w:w="850"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r w:rsidR="003F789A" w:rsidRPr="00857048" w:rsidTr="00857048">
        <w:trPr>
          <w:trHeight w:val="300"/>
        </w:trPr>
        <w:tc>
          <w:tcPr>
            <w:tcW w:w="1290" w:type="dxa"/>
            <w:tcBorders>
              <w:bottom w:val="single" w:sz="18" w:space="0" w:color="auto"/>
            </w:tcBorders>
          </w:tcPr>
          <w:p w:rsidR="003F789A" w:rsidRPr="0074595A" w:rsidRDefault="003F789A" w:rsidP="0074595A">
            <w:pPr>
              <w:spacing w:after="100" w:afterAutospacing="1" w:line="240" w:lineRule="auto"/>
              <w:rPr>
                <w:rFonts w:cs="Arial"/>
                <w:color w:val="000000"/>
                <w:sz w:val="18"/>
                <w:szCs w:val="18"/>
              </w:rPr>
            </w:pPr>
            <w:proofErr w:type="spellStart"/>
            <w:r w:rsidRPr="0074595A">
              <w:rPr>
                <w:rFonts w:cs="Arial"/>
                <w:color w:val="000000"/>
                <w:sz w:val="18"/>
                <w:szCs w:val="18"/>
              </w:rPr>
              <w:t>BFhigh</w:t>
            </w:r>
            <w:proofErr w:type="spellEnd"/>
          </w:p>
        </w:tc>
        <w:tc>
          <w:tcPr>
            <w:tcW w:w="709" w:type="dxa"/>
            <w:tcBorders>
              <w:bottom w:val="single" w:sz="18" w:space="0" w:color="auto"/>
            </w:tcBorders>
            <w:vAlign w:val="center"/>
          </w:tcPr>
          <w:p w:rsidR="003F789A" w:rsidRPr="0074595A" w:rsidRDefault="003F789A" w:rsidP="0074595A">
            <w:pPr>
              <w:spacing w:after="100" w:afterAutospacing="1" w:line="240" w:lineRule="auto"/>
              <w:jc w:val="center"/>
              <w:rPr>
                <w:rFonts w:cs="Arial"/>
                <w:color w:val="000000"/>
                <w:sz w:val="18"/>
                <w:szCs w:val="18"/>
              </w:rPr>
            </w:pPr>
            <w:r w:rsidRPr="0074595A">
              <w:rPr>
                <w:rFonts w:cs="Arial"/>
                <w:color w:val="000000"/>
                <w:sz w:val="18"/>
                <w:szCs w:val="18"/>
              </w:rPr>
              <w:t>401</w:t>
            </w:r>
          </w:p>
        </w:tc>
        <w:tc>
          <w:tcPr>
            <w:tcW w:w="709"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w:t>
            </w:r>
          </w:p>
        </w:tc>
        <w:tc>
          <w:tcPr>
            <w:tcW w:w="850"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1610</w:t>
            </w:r>
          </w:p>
        </w:tc>
        <w:tc>
          <w:tcPr>
            <w:tcW w:w="851"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1</w:t>
            </w:r>
          </w:p>
        </w:tc>
        <w:tc>
          <w:tcPr>
            <w:tcW w:w="992"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850"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98</w:t>
            </w:r>
          </w:p>
        </w:tc>
        <w:tc>
          <w:tcPr>
            <w:tcW w:w="709"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2</w:t>
            </w:r>
          </w:p>
        </w:tc>
        <w:tc>
          <w:tcPr>
            <w:tcW w:w="850"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c>
          <w:tcPr>
            <w:tcW w:w="709" w:type="dxa"/>
            <w:tcBorders>
              <w:bottom w:val="single" w:sz="18" w:space="0" w:color="auto"/>
            </w:tcBorders>
            <w:noWrap/>
            <w:vAlign w:val="center"/>
          </w:tcPr>
          <w:p w:rsidR="003F789A" w:rsidRPr="0074595A" w:rsidRDefault="003F789A" w:rsidP="0074595A">
            <w:pPr>
              <w:spacing w:after="100" w:afterAutospacing="1" w:line="240" w:lineRule="auto"/>
              <w:jc w:val="center"/>
              <w:rPr>
                <w:rFonts w:cs="Arial"/>
                <w:color w:val="000000"/>
                <w:sz w:val="18"/>
                <w:szCs w:val="18"/>
                <w:lang w:val="nl-NL" w:eastAsia="nl-NL"/>
              </w:rPr>
            </w:pPr>
            <w:r w:rsidRPr="0074595A">
              <w:rPr>
                <w:rFonts w:cs="Arial"/>
                <w:color w:val="000000"/>
                <w:sz w:val="18"/>
                <w:szCs w:val="18"/>
                <w:lang w:val="nl-NL" w:eastAsia="nl-NL"/>
              </w:rPr>
              <w:t>-</w:t>
            </w:r>
          </w:p>
        </w:tc>
      </w:tr>
    </w:tbl>
    <w:p w:rsidR="003F789A" w:rsidRPr="00857048" w:rsidRDefault="003F789A" w:rsidP="00857048">
      <w:pPr>
        <w:spacing w:after="100" w:afterAutospacing="1" w:line="360" w:lineRule="auto"/>
        <w:ind w:firstLine="708"/>
        <w:rPr>
          <w:rFonts w:cs="Arial"/>
          <w:sz w:val="20"/>
        </w:rPr>
      </w:pPr>
    </w:p>
    <w:p w:rsidR="003F789A" w:rsidRPr="00857048" w:rsidRDefault="003F789A" w:rsidP="0074595A">
      <w:pPr>
        <w:spacing w:after="100" w:afterAutospacing="1" w:line="360" w:lineRule="auto"/>
        <w:rPr>
          <w:rFonts w:cs="Arial"/>
          <w:sz w:val="20"/>
        </w:rPr>
      </w:pPr>
      <w:r w:rsidRPr="00857048">
        <w:rPr>
          <w:rFonts w:cs="Arial"/>
          <w:sz w:val="20"/>
        </w:rPr>
        <w:t>Class 4 exhibits the lowest rates of marginal substitution. We suspect that this class exhibits signs of lexicographic preference ordering and that the most important attribute for this group was the amount of housing. This was confirmed by the follow-up control question in which we asked respondents to which attribute(s) they had paid most attention: 82% of the respondents in this class stated that housing had been the most important attribute. The respondents in this class may therefore have ordered their preferences according to the housing attribute, meaning that environmental compensation, specifically shelterbelts, was only preferred when combined with low levels of housing.  This suggests that for respondents in this class woodland restoration cannot compensate for additional housing as people are not willing to offset higher levels of housing with environmental compensation.</w:t>
      </w:r>
    </w:p>
    <w:p w:rsidR="003F789A" w:rsidRPr="006D566F" w:rsidRDefault="003F789A" w:rsidP="0028745B">
      <w:pPr>
        <w:rPr>
          <w:b/>
          <w:sz w:val="20"/>
        </w:rPr>
      </w:pPr>
      <w:r w:rsidRPr="006D566F">
        <w:rPr>
          <w:b/>
          <w:sz w:val="20"/>
        </w:rPr>
        <w:lastRenderedPageBreak/>
        <w:t>Explaining choices for environmental compensation</w:t>
      </w:r>
    </w:p>
    <w:p w:rsidR="003F789A" w:rsidRDefault="003F789A" w:rsidP="0074595A">
      <w:pPr>
        <w:spacing w:after="0" w:line="240" w:lineRule="auto"/>
        <w:rPr>
          <w:rFonts w:cs="Arial"/>
          <w:sz w:val="20"/>
        </w:rPr>
      </w:pPr>
    </w:p>
    <w:p w:rsidR="003F789A" w:rsidRPr="006D566F" w:rsidRDefault="003F789A" w:rsidP="006D566F">
      <w:pPr>
        <w:spacing w:after="0" w:line="360" w:lineRule="auto"/>
        <w:rPr>
          <w:rFonts w:cs="Arial"/>
          <w:b/>
          <w:i/>
          <w:sz w:val="20"/>
        </w:rPr>
      </w:pPr>
      <w:r w:rsidRPr="006D566F">
        <w:rPr>
          <w:rFonts w:cs="Arial"/>
          <w:b/>
          <w:i/>
          <w:sz w:val="20"/>
        </w:rPr>
        <w:t>Latent class profiles</w:t>
      </w:r>
    </w:p>
    <w:p w:rsidR="003F789A" w:rsidRPr="00857048" w:rsidRDefault="003F789A" w:rsidP="0074595A">
      <w:pPr>
        <w:spacing w:after="100" w:afterAutospacing="1" w:line="360" w:lineRule="auto"/>
        <w:rPr>
          <w:rFonts w:cs="Arial"/>
          <w:sz w:val="20"/>
        </w:rPr>
      </w:pPr>
      <w:r w:rsidRPr="00857048">
        <w:rPr>
          <w:rFonts w:cs="Arial"/>
          <w:sz w:val="20"/>
        </w:rPr>
        <w:t xml:space="preserve">To enrich our understanding of the respondent groups identified by the latent class analysis we summarized the data for several characteristics of individuals in each latent class (Table 8). To do so, we allocated respondents to a certain class according to their class probabilities (where the respondent was allocated to the class for which they had the largest probability). Average class probabilities for all but one of the four classes were at or above 90%.  Class 4 had an average of 82%. We therefore think the profiles can provide a useful description of all the classes. </w:t>
      </w:r>
    </w:p>
    <w:p w:rsidR="003F789A" w:rsidRPr="00857048" w:rsidRDefault="003F789A" w:rsidP="0074595A">
      <w:pPr>
        <w:spacing w:after="100" w:afterAutospacing="1" w:line="360" w:lineRule="auto"/>
        <w:rPr>
          <w:rFonts w:cs="Arial"/>
          <w:sz w:val="20"/>
        </w:rPr>
      </w:pPr>
      <w:r w:rsidRPr="00857048">
        <w:rPr>
          <w:rFonts w:cs="Arial"/>
          <w:sz w:val="20"/>
        </w:rPr>
        <w:t xml:space="preserve">We tested for independency between classes for several of the variables (using chi-squared for categorical variables, a </w:t>
      </w:r>
      <w:proofErr w:type="spellStart"/>
      <w:r w:rsidRPr="00857048">
        <w:rPr>
          <w:rFonts w:cs="Arial"/>
          <w:sz w:val="20"/>
        </w:rPr>
        <w:t>Kruskal</w:t>
      </w:r>
      <w:proofErr w:type="spellEnd"/>
      <w:r w:rsidRPr="00857048">
        <w:rPr>
          <w:rFonts w:cs="Arial"/>
          <w:sz w:val="20"/>
        </w:rPr>
        <w:t xml:space="preserve"> Wallis test for ordinal variables and a one way ANOVA for continuous variables. To test for significance between specific groups we conducted pair wise comparisons through post-hoc tests).</w:t>
      </w:r>
    </w:p>
    <w:p w:rsidR="003F789A" w:rsidRPr="00857048" w:rsidRDefault="003F789A" w:rsidP="0074595A">
      <w:pPr>
        <w:spacing w:after="0" w:line="360" w:lineRule="auto"/>
        <w:rPr>
          <w:rFonts w:cs="Arial"/>
          <w:sz w:val="20"/>
        </w:rPr>
      </w:pPr>
      <w:r w:rsidRPr="00857048">
        <w:rPr>
          <w:rFonts w:cs="Arial"/>
          <w:sz w:val="20"/>
        </w:rPr>
        <w:t>Table 8. Latent class profiles</w:t>
      </w:r>
    </w:p>
    <w:tbl>
      <w:tblPr>
        <w:tblW w:w="9434" w:type="dxa"/>
        <w:tblInd w:w="56" w:type="dxa"/>
        <w:tblCellMar>
          <w:left w:w="70" w:type="dxa"/>
          <w:right w:w="70" w:type="dxa"/>
        </w:tblCellMar>
        <w:tblLook w:val="00A0" w:firstRow="1" w:lastRow="0" w:firstColumn="1" w:lastColumn="0" w:noHBand="0" w:noVBand="0"/>
      </w:tblPr>
      <w:tblGrid>
        <w:gridCol w:w="1084"/>
        <w:gridCol w:w="4014"/>
        <w:gridCol w:w="703"/>
        <w:gridCol w:w="381"/>
        <w:gridCol w:w="1084"/>
        <w:gridCol w:w="1084"/>
        <w:gridCol w:w="1084"/>
      </w:tblGrid>
      <w:tr w:rsidR="003F789A" w:rsidRPr="0074595A" w:rsidTr="00857048">
        <w:trPr>
          <w:trHeight w:val="300"/>
        </w:trPr>
        <w:tc>
          <w:tcPr>
            <w:tcW w:w="5098" w:type="dxa"/>
            <w:gridSpan w:val="2"/>
            <w:tcBorders>
              <w:top w:val="single" w:sz="12" w:space="0" w:color="auto"/>
              <w:left w:val="nil"/>
              <w:bottom w:val="single" w:sz="12" w:space="0" w:color="auto"/>
              <w:right w:val="nil"/>
            </w:tcBorders>
            <w:noWrap/>
            <w:vAlign w:val="bottom"/>
          </w:tcPr>
          <w:p w:rsidR="003F789A" w:rsidRPr="0074595A" w:rsidRDefault="003F789A" w:rsidP="0074595A">
            <w:pPr>
              <w:spacing w:after="100" w:afterAutospacing="1" w:line="240" w:lineRule="auto"/>
              <w:rPr>
                <w:rFonts w:cs="Arial"/>
                <w:b/>
                <w:color w:val="000000"/>
                <w:sz w:val="18"/>
                <w:szCs w:val="18"/>
                <w:lang w:val="nl-NL" w:eastAsia="nl-NL"/>
              </w:rPr>
            </w:pPr>
            <w:r w:rsidRPr="0074595A">
              <w:rPr>
                <w:rFonts w:cs="Arial"/>
                <w:b/>
                <w:color w:val="000000"/>
                <w:sz w:val="18"/>
                <w:szCs w:val="18"/>
                <w:lang w:val="nl-NL" w:eastAsia="nl-NL"/>
              </w:rPr>
              <w:t>Variables</w:t>
            </w:r>
          </w:p>
        </w:tc>
        <w:tc>
          <w:tcPr>
            <w:tcW w:w="1084" w:type="dxa"/>
            <w:gridSpan w:val="2"/>
            <w:tcBorders>
              <w:top w:val="single" w:sz="12" w:space="0" w:color="auto"/>
              <w:left w:val="nil"/>
              <w:bottom w:val="single" w:sz="12" w:space="0" w:color="auto"/>
              <w:right w:val="nil"/>
            </w:tcBorders>
            <w:noWrap/>
            <w:vAlign w:val="bottom"/>
          </w:tcPr>
          <w:p w:rsidR="003F789A" w:rsidRPr="0074595A" w:rsidRDefault="003F789A" w:rsidP="0074595A">
            <w:pPr>
              <w:spacing w:after="100" w:afterAutospacing="1" w:line="240" w:lineRule="auto"/>
              <w:jc w:val="right"/>
              <w:rPr>
                <w:rFonts w:cs="Arial"/>
                <w:b/>
                <w:color w:val="000000"/>
                <w:sz w:val="18"/>
                <w:szCs w:val="18"/>
                <w:lang w:val="nl-NL" w:eastAsia="nl-NL"/>
              </w:rPr>
            </w:pPr>
            <w:r w:rsidRPr="0074595A">
              <w:rPr>
                <w:rFonts w:cs="Arial"/>
                <w:b/>
                <w:color w:val="000000"/>
                <w:sz w:val="18"/>
                <w:szCs w:val="18"/>
                <w:lang w:val="nl-NL" w:eastAsia="nl-NL"/>
              </w:rPr>
              <w:t>Class 1</w:t>
            </w:r>
          </w:p>
        </w:tc>
        <w:tc>
          <w:tcPr>
            <w:tcW w:w="1084" w:type="dxa"/>
            <w:tcBorders>
              <w:top w:val="single" w:sz="12" w:space="0" w:color="auto"/>
              <w:left w:val="nil"/>
              <w:bottom w:val="single" w:sz="12" w:space="0" w:color="auto"/>
              <w:right w:val="nil"/>
            </w:tcBorders>
            <w:vAlign w:val="bottom"/>
          </w:tcPr>
          <w:p w:rsidR="003F789A" w:rsidRPr="0074595A" w:rsidRDefault="003F789A" w:rsidP="0074595A">
            <w:pPr>
              <w:spacing w:after="100" w:afterAutospacing="1" w:line="240" w:lineRule="auto"/>
              <w:jc w:val="right"/>
              <w:rPr>
                <w:rFonts w:cs="Arial"/>
                <w:b/>
                <w:color w:val="000000"/>
                <w:sz w:val="18"/>
                <w:szCs w:val="18"/>
                <w:lang w:val="nl-NL" w:eastAsia="nl-NL"/>
              </w:rPr>
            </w:pPr>
            <w:r w:rsidRPr="0074595A">
              <w:rPr>
                <w:rFonts w:cs="Arial"/>
                <w:b/>
                <w:color w:val="000000"/>
                <w:sz w:val="18"/>
                <w:szCs w:val="18"/>
                <w:lang w:val="nl-NL" w:eastAsia="nl-NL"/>
              </w:rPr>
              <w:t>Class 2</w:t>
            </w:r>
          </w:p>
        </w:tc>
        <w:tc>
          <w:tcPr>
            <w:tcW w:w="1084" w:type="dxa"/>
            <w:tcBorders>
              <w:top w:val="single" w:sz="12" w:space="0" w:color="auto"/>
              <w:left w:val="nil"/>
              <w:bottom w:val="single" w:sz="12" w:space="0" w:color="auto"/>
              <w:right w:val="nil"/>
            </w:tcBorders>
            <w:noWrap/>
            <w:vAlign w:val="bottom"/>
          </w:tcPr>
          <w:p w:rsidR="003F789A" w:rsidRPr="0074595A" w:rsidRDefault="003F789A" w:rsidP="0074595A">
            <w:pPr>
              <w:spacing w:after="100" w:afterAutospacing="1" w:line="240" w:lineRule="auto"/>
              <w:jc w:val="right"/>
              <w:rPr>
                <w:rFonts w:cs="Arial"/>
                <w:b/>
                <w:color w:val="000000"/>
                <w:sz w:val="18"/>
                <w:szCs w:val="18"/>
                <w:lang w:val="nl-NL" w:eastAsia="nl-NL"/>
              </w:rPr>
            </w:pPr>
            <w:r w:rsidRPr="0074595A">
              <w:rPr>
                <w:rFonts w:cs="Arial"/>
                <w:b/>
                <w:color w:val="000000"/>
                <w:sz w:val="18"/>
                <w:szCs w:val="18"/>
                <w:lang w:val="nl-NL" w:eastAsia="nl-NL"/>
              </w:rPr>
              <w:t>Class 3</w:t>
            </w:r>
          </w:p>
        </w:tc>
        <w:tc>
          <w:tcPr>
            <w:tcW w:w="1084" w:type="dxa"/>
            <w:tcBorders>
              <w:top w:val="single" w:sz="12" w:space="0" w:color="auto"/>
              <w:left w:val="nil"/>
              <w:bottom w:val="single" w:sz="12" w:space="0" w:color="auto"/>
              <w:right w:val="nil"/>
            </w:tcBorders>
            <w:noWrap/>
            <w:vAlign w:val="bottom"/>
          </w:tcPr>
          <w:p w:rsidR="003F789A" w:rsidRPr="0074595A" w:rsidRDefault="003F789A" w:rsidP="0074595A">
            <w:pPr>
              <w:spacing w:after="100" w:afterAutospacing="1" w:line="240" w:lineRule="auto"/>
              <w:jc w:val="right"/>
              <w:rPr>
                <w:rFonts w:cs="Arial"/>
                <w:b/>
                <w:color w:val="000000"/>
                <w:sz w:val="18"/>
                <w:szCs w:val="18"/>
                <w:lang w:val="nl-NL" w:eastAsia="nl-NL"/>
              </w:rPr>
            </w:pPr>
            <w:r w:rsidRPr="0074595A">
              <w:rPr>
                <w:rFonts w:cs="Arial"/>
                <w:b/>
                <w:color w:val="000000"/>
                <w:sz w:val="18"/>
                <w:szCs w:val="18"/>
                <w:lang w:val="nl-NL" w:eastAsia="nl-NL"/>
              </w:rPr>
              <w:t>Class 4</w:t>
            </w:r>
          </w:p>
        </w:tc>
      </w:tr>
      <w:tr w:rsidR="003F789A" w:rsidRPr="0074595A" w:rsidTr="00857048">
        <w:trPr>
          <w:trHeight w:val="300"/>
        </w:trPr>
        <w:tc>
          <w:tcPr>
            <w:tcW w:w="5098" w:type="dxa"/>
            <w:gridSpan w:val="2"/>
            <w:tcBorders>
              <w:top w:val="single" w:sz="12" w:space="0" w:color="auto"/>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val="nl-NL" w:eastAsia="nl-NL"/>
              </w:rPr>
              <w:t xml:space="preserve">Socio-demographic characteristics </w:t>
            </w:r>
          </w:p>
        </w:tc>
        <w:tc>
          <w:tcPr>
            <w:tcW w:w="1084" w:type="dxa"/>
            <w:gridSpan w:val="2"/>
            <w:tcBorders>
              <w:top w:val="single" w:sz="12" w:space="0" w:color="auto"/>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single" w:sz="12" w:space="0" w:color="auto"/>
              <w:left w:val="nil"/>
              <w:bottom w:val="nil"/>
              <w:right w:val="nil"/>
            </w:tcBorders>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single" w:sz="12" w:space="0" w:color="auto"/>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single" w:sz="12" w:space="0" w:color="auto"/>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Urban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27.3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17.7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21.2</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Age (mean)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47.6</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50.4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52.4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44.6</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Income (mean)*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3.5</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2.9</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3.5</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Education (mean)**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2.6</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2.5</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2.6</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2.7</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Female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53.6</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64.5</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66.7</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r w:rsidRPr="0074595A">
              <w:rPr>
                <w:rFonts w:cs="Arial"/>
                <w:color w:val="000000"/>
                <w:sz w:val="18"/>
                <w:szCs w:val="18"/>
                <w:lang w:eastAsia="nl-NL"/>
              </w:rPr>
              <w:t>Grew up in East Lothian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51.8</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34.3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32.3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69.7</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r w:rsidRPr="0074595A">
              <w:rPr>
                <w:rFonts w:cs="Arial"/>
                <w:color w:val="000000"/>
                <w:sz w:val="18"/>
                <w:szCs w:val="18"/>
                <w:lang w:eastAsia="nl-NL"/>
              </w:rPr>
              <w:t>Residence time (mean, as % of age)</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60.1</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44.1</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48.1</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66.8</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r w:rsidRPr="0074595A">
              <w:rPr>
                <w:rFonts w:cs="Arial"/>
                <w:color w:val="000000"/>
                <w:sz w:val="18"/>
                <w:szCs w:val="18"/>
                <w:lang w:eastAsia="nl-NL"/>
              </w:rPr>
              <w:t>Goes for recreation in countryside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48.2</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30.6</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60.6</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val="nl-NL" w:eastAsia="nl-NL"/>
              </w:rPr>
              <w:t xml:space="preserve">Values for </w:t>
            </w:r>
            <w:r>
              <w:rPr>
                <w:rFonts w:cs="Arial"/>
                <w:iCs/>
                <w:color w:val="000000"/>
                <w:sz w:val="18"/>
                <w:szCs w:val="18"/>
                <w:lang w:val="nl-NL" w:eastAsia="nl-NL"/>
              </w:rPr>
              <w:t>ES</w:t>
            </w:r>
            <w:r w:rsidRPr="0074595A">
              <w:rPr>
                <w:rFonts w:cs="Arial"/>
                <w:iCs/>
                <w:color w:val="000000"/>
                <w:sz w:val="18"/>
                <w:szCs w:val="18"/>
                <w:lang w:val="nl-NL" w:eastAsia="nl-NL"/>
              </w:rPr>
              <w:t>s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xml:space="preserve">Aesthetic quality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32.7</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34.3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38.7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45.5</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 xml:space="preserve">Supporting biodiversity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49.1</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31.4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71.0</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51.5</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Supporting agriculture</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42.7</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20.0</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29.0</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27.3</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r w:rsidRPr="0074595A">
              <w:rPr>
                <w:rFonts w:cs="Arial"/>
                <w:color w:val="000000"/>
                <w:sz w:val="18"/>
                <w:szCs w:val="18"/>
                <w:lang w:eastAsia="nl-NL"/>
              </w:rPr>
              <w:t>Maintaining traditional character of the landscape</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57.3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57.1</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48.4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60.6</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Provision of timber</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7.3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1.6</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0.0</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Recreation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60.9</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62.9</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62.9</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72.7</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Tourism</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20.9</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48.6</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19.4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18.2</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Climate change mitigation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8.2</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3.2</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9.1</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r w:rsidRPr="0074595A">
              <w:rPr>
                <w:rFonts w:cs="Arial"/>
                <w:color w:val="000000"/>
                <w:sz w:val="18"/>
                <w:szCs w:val="18"/>
                <w:lang w:val="nl-NL" w:eastAsia="nl-NL"/>
              </w:rPr>
              <w:t>Air quality</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20.9</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34.3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25.8</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15.2</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r w:rsidR="003F789A" w:rsidRPr="0074595A" w:rsidTr="00857048">
        <w:trPr>
          <w:trHeight w:val="300"/>
        </w:trPr>
        <w:tc>
          <w:tcPr>
            <w:tcW w:w="6182" w:type="dxa"/>
            <w:gridSpan w:val="4"/>
            <w:tcBorders>
              <w:top w:val="nil"/>
              <w:left w:val="nil"/>
              <w:bottom w:val="nil"/>
              <w:right w:val="nil"/>
            </w:tcBorders>
            <w:noWrap/>
            <w:vAlign w:val="bottom"/>
          </w:tcPr>
          <w:p w:rsidR="003F789A" w:rsidRPr="0074595A" w:rsidRDefault="003F789A" w:rsidP="0074595A">
            <w:pPr>
              <w:spacing w:after="0" w:line="240" w:lineRule="auto"/>
              <w:rPr>
                <w:rFonts w:cs="Arial"/>
                <w:b/>
                <w:iCs/>
                <w:color w:val="000000"/>
                <w:sz w:val="18"/>
                <w:szCs w:val="18"/>
                <w:lang w:eastAsia="nl-NL"/>
              </w:rPr>
            </w:pPr>
            <w:r w:rsidRPr="0074595A">
              <w:rPr>
                <w:rFonts w:cs="Arial"/>
                <w:b/>
                <w:iCs/>
                <w:color w:val="000000"/>
                <w:sz w:val="18"/>
                <w:szCs w:val="18"/>
                <w:lang w:eastAsia="nl-NL"/>
              </w:rPr>
              <w:t xml:space="preserve">Attitudes towards residential development </w:t>
            </w:r>
          </w:p>
          <w:p w:rsidR="003F789A" w:rsidRPr="0074595A" w:rsidRDefault="003F789A" w:rsidP="0074595A">
            <w:pPr>
              <w:spacing w:after="100" w:afterAutospacing="1" w:line="240" w:lineRule="auto"/>
              <w:rPr>
                <w:rFonts w:cs="Arial"/>
                <w:iCs/>
                <w:color w:val="000000"/>
                <w:sz w:val="18"/>
                <w:szCs w:val="18"/>
                <w:lang w:eastAsia="nl-NL"/>
              </w:rPr>
            </w:pPr>
            <w:r w:rsidRPr="0074595A">
              <w:rPr>
                <w:rFonts w:cs="Arial"/>
                <w:iCs/>
                <w:color w:val="000000"/>
                <w:sz w:val="18"/>
                <w:szCs w:val="18"/>
                <w:lang w:eastAsia="nl-NL"/>
              </w:rPr>
              <w:t>(mean with standard deviation in parenthesis, 1= absolutely disagree, 5 =absolutely agree)</w:t>
            </w:r>
          </w:p>
        </w:tc>
        <w:tc>
          <w:tcPr>
            <w:tcW w:w="1084" w:type="dxa"/>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left"/>
              <w:rPr>
                <w:rFonts w:cs="Arial"/>
                <w:bCs/>
                <w:color w:val="000000"/>
                <w:sz w:val="18"/>
                <w:szCs w:val="18"/>
                <w:lang w:eastAsia="nl-NL"/>
              </w:rPr>
            </w:pPr>
            <w:r w:rsidRPr="0074595A">
              <w:rPr>
                <w:rFonts w:cs="Arial"/>
                <w:bCs/>
                <w:color w:val="000000"/>
                <w:sz w:val="18"/>
                <w:szCs w:val="18"/>
                <w:lang w:eastAsia="nl-NL"/>
              </w:rPr>
              <w:t>Additional housing will have a negative effect on the landscape of East Lothian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3.7 (1.23)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4.3 (1.03)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4.2 (1.03)</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4.4 (0.78)</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bCs/>
                <w:color w:val="000000"/>
                <w:sz w:val="18"/>
                <w:szCs w:val="18"/>
                <w:lang w:eastAsia="nl-NL"/>
              </w:rPr>
            </w:pPr>
            <w:r w:rsidRPr="0074595A">
              <w:rPr>
                <w:rFonts w:cs="Arial"/>
                <w:bCs/>
                <w:color w:val="000000"/>
                <w:sz w:val="18"/>
                <w:szCs w:val="18"/>
                <w:lang w:eastAsia="nl-NL"/>
              </w:rPr>
              <w:lastRenderedPageBreak/>
              <w:t>We have got enough houses in East Lothian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2.6 (1.48)</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2.7 (1.19)</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3.1 (1.45)</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3.8 (1.47)</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bCs/>
                <w:color w:val="000000"/>
                <w:sz w:val="18"/>
                <w:szCs w:val="18"/>
                <w:lang w:eastAsia="nl-NL"/>
              </w:rPr>
            </w:pPr>
            <w:r w:rsidRPr="0074595A">
              <w:rPr>
                <w:rFonts w:cs="Arial"/>
                <w:bCs/>
                <w:color w:val="000000"/>
                <w:sz w:val="18"/>
                <w:szCs w:val="18"/>
                <w:lang w:eastAsia="nl-NL"/>
              </w:rPr>
              <w:t xml:space="preserve"> Additional housing is necessary</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3.7 (1.32)</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3.7 (1.25)</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3.3 (1.37)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2.9 (1.39)</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bCs/>
                <w:color w:val="000000"/>
                <w:sz w:val="18"/>
                <w:szCs w:val="18"/>
                <w:lang w:eastAsia="nl-NL"/>
              </w:rPr>
            </w:pPr>
            <w:r w:rsidRPr="0074595A">
              <w:rPr>
                <w:rFonts w:cs="Arial"/>
                <w:bCs/>
                <w:color w:val="000000"/>
                <w:sz w:val="18"/>
                <w:szCs w:val="18"/>
                <w:lang w:eastAsia="nl-NL"/>
              </w:rPr>
              <w:t xml:space="preserve"> It would be nice to have new settlements in East Lothian</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eastAsia="nl-NL"/>
              </w:rPr>
            </w:pPr>
            <w:r w:rsidRPr="0074595A">
              <w:rPr>
                <w:rFonts w:cs="Arial"/>
                <w:color w:val="000000"/>
                <w:sz w:val="18"/>
                <w:szCs w:val="18"/>
                <w:lang w:eastAsia="nl-NL"/>
              </w:rPr>
              <w:t>2.8 (1.33)</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eastAsia="nl-NL"/>
              </w:rPr>
            </w:pPr>
            <w:r w:rsidRPr="0074595A">
              <w:rPr>
                <w:rFonts w:cs="Arial"/>
                <w:color w:val="000000"/>
                <w:sz w:val="18"/>
                <w:szCs w:val="18"/>
                <w:lang w:eastAsia="nl-NL"/>
              </w:rPr>
              <w:t>3.1 (1.24)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eastAsia="nl-NL"/>
              </w:rPr>
            </w:pPr>
            <w:r w:rsidRPr="0074595A">
              <w:rPr>
                <w:rFonts w:cs="Arial"/>
                <w:color w:val="000000"/>
                <w:sz w:val="18"/>
                <w:szCs w:val="18"/>
                <w:lang w:eastAsia="nl-NL"/>
              </w:rPr>
              <w:t>2.4 (1.44)</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eastAsia="nl-NL"/>
              </w:rPr>
            </w:pPr>
            <w:r w:rsidRPr="0074595A">
              <w:rPr>
                <w:rFonts w:cs="Arial"/>
                <w:color w:val="000000"/>
                <w:sz w:val="18"/>
                <w:szCs w:val="18"/>
                <w:lang w:eastAsia="nl-NL"/>
              </w:rPr>
              <w:t>2.2 (1.45)</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r>
      <w:tr w:rsidR="003F789A" w:rsidRPr="0074595A" w:rsidTr="00857048">
        <w:trPr>
          <w:trHeight w:val="300"/>
        </w:trPr>
        <w:tc>
          <w:tcPr>
            <w:tcW w:w="6182" w:type="dxa"/>
            <w:gridSpan w:val="4"/>
            <w:tcBorders>
              <w:top w:val="nil"/>
              <w:left w:val="nil"/>
              <w:bottom w:val="nil"/>
              <w:right w:val="nil"/>
            </w:tcBorders>
            <w:noWrap/>
            <w:vAlign w:val="bottom"/>
          </w:tcPr>
          <w:p w:rsidR="003F789A" w:rsidRPr="0074595A" w:rsidRDefault="003F789A" w:rsidP="0074595A">
            <w:pPr>
              <w:spacing w:after="100" w:afterAutospacing="1" w:line="240" w:lineRule="auto"/>
              <w:rPr>
                <w:rFonts w:cs="Arial"/>
                <w:b/>
                <w:iCs/>
                <w:color w:val="000000"/>
                <w:sz w:val="18"/>
                <w:szCs w:val="18"/>
                <w:lang w:eastAsia="nl-NL"/>
              </w:rPr>
            </w:pPr>
            <w:r w:rsidRPr="0074595A">
              <w:rPr>
                <w:rFonts w:cs="Arial"/>
                <w:b/>
                <w:iCs/>
                <w:color w:val="000000"/>
                <w:sz w:val="18"/>
                <w:szCs w:val="18"/>
                <w:lang w:eastAsia="nl-NL"/>
              </w:rPr>
              <w:t>Evaluation of environmental compensation</w:t>
            </w:r>
          </w:p>
        </w:tc>
        <w:tc>
          <w:tcPr>
            <w:tcW w:w="1084" w:type="dxa"/>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rPr>
                <w:rFonts w:cs="Arial"/>
                <w:color w:val="000000"/>
                <w:sz w:val="18"/>
                <w:szCs w:val="18"/>
                <w:lang w:eastAsia="nl-NL"/>
              </w:rPr>
            </w:pPr>
          </w:p>
        </w:tc>
      </w:tr>
      <w:tr w:rsidR="003F789A" w:rsidRPr="0074595A" w:rsidTr="00A75D5D">
        <w:trPr>
          <w:gridAfter w:val="4"/>
          <w:wAfter w:w="3633" w:type="dxa"/>
          <w:trHeight w:val="300"/>
        </w:trPr>
        <w:tc>
          <w:tcPr>
            <w:tcW w:w="5801" w:type="dxa"/>
            <w:gridSpan w:val="3"/>
            <w:tcBorders>
              <w:top w:val="nil"/>
              <w:left w:val="nil"/>
              <w:bottom w:val="nil"/>
              <w:right w:val="nil"/>
            </w:tcBorders>
          </w:tcPr>
          <w:p w:rsidR="003F789A" w:rsidRPr="0074595A" w:rsidRDefault="003F789A" w:rsidP="0074595A">
            <w:pPr>
              <w:spacing w:after="100" w:afterAutospacing="1" w:line="240" w:lineRule="auto"/>
              <w:rPr>
                <w:rFonts w:cs="Arial"/>
                <w:color w:val="000000"/>
                <w:sz w:val="18"/>
                <w:szCs w:val="18"/>
                <w:lang w:eastAsia="nl-NL"/>
              </w:rPr>
            </w:pPr>
            <w:r w:rsidRPr="0074595A">
              <w:rPr>
                <w:rFonts w:cs="Arial"/>
                <w:color w:val="000000"/>
                <w:sz w:val="18"/>
                <w:szCs w:val="18"/>
                <w:lang w:eastAsia="nl-NL"/>
              </w:rPr>
              <w:t>Do you think that woodland restoration can adequately compensate for additional housing in East Lothian?</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eastAsia="nl-NL"/>
              </w:rPr>
              <w:t xml:space="preserve">              </w:t>
            </w:r>
            <w:r w:rsidRPr="0074595A">
              <w:rPr>
                <w:rFonts w:cs="Arial"/>
                <w:iCs/>
                <w:color w:val="000000"/>
                <w:sz w:val="18"/>
                <w:szCs w:val="18"/>
                <w:lang w:val="nl-NL" w:eastAsia="nl-NL"/>
              </w:rPr>
              <w:t>Yes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64.5</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65.7</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45.2</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30.3</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val="nl-NL" w:eastAsia="nl-NL"/>
              </w:rPr>
              <w:t xml:space="preserve">              Maybe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23.6</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20.0</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37.1</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36.4</w:t>
            </w:r>
          </w:p>
        </w:tc>
      </w:tr>
      <w:tr w:rsidR="003F789A" w:rsidRPr="0074595A" w:rsidTr="00857048">
        <w:trPr>
          <w:gridAfter w:val="4"/>
          <w:wAfter w:w="3633" w:type="dxa"/>
          <w:trHeight w:val="300"/>
        </w:trPr>
        <w:tc>
          <w:tcPr>
            <w:tcW w:w="1084" w:type="dxa"/>
            <w:tcBorders>
              <w:top w:val="nil"/>
              <w:left w:val="nil"/>
              <w:bottom w:val="nil"/>
              <w:right w:val="nil"/>
            </w:tcBorders>
          </w:tcPr>
          <w:p w:rsidR="003F789A" w:rsidRPr="0074595A" w:rsidRDefault="003F789A" w:rsidP="0074595A">
            <w:pPr>
              <w:spacing w:after="100" w:afterAutospacing="1" w:line="240" w:lineRule="auto"/>
              <w:rPr>
                <w:rFonts w:cs="Arial"/>
                <w:iCs/>
                <w:color w:val="000000"/>
                <w:sz w:val="18"/>
                <w:szCs w:val="18"/>
                <w:lang w:eastAsia="nl-NL"/>
              </w:rPr>
            </w:pPr>
          </w:p>
        </w:tc>
        <w:tc>
          <w:tcPr>
            <w:tcW w:w="4717"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eastAsia="nl-NL"/>
              </w:rPr>
            </w:pPr>
            <w:r w:rsidRPr="0074595A">
              <w:rPr>
                <w:rFonts w:cs="Arial"/>
                <w:iCs/>
                <w:color w:val="000000"/>
                <w:sz w:val="18"/>
                <w:szCs w:val="18"/>
                <w:lang w:eastAsia="nl-NL"/>
              </w:rPr>
              <w:t>Do you think that woodland restoration should be obligatory when building in East Lothian?</w:t>
            </w:r>
          </w:p>
        </w:tc>
      </w:tr>
      <w:tr w:rsidR="003F789A" w:rsidRPr="0074595A" w:rsidTr="00857048">
        <w:trPr>
          <w:trHeight w:val="300"/>
        </w:trPr>
        <w:tc>
          <w:tcPr>
            <w:tcW w:w="5098" w:type="dxa"/>
            <w:gridSpan w:val="2"/>
            <w:tcBorders>
              <w:top w:val="nil"/>
              <w:left w:val="nil"/>
              <w:bottom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eastAsia="nl-NL"/>
              </w:rPr>
              <w:t xml:space="preserve">              </w:t>
            </w:r>
            <w:r w:rsidRPr="0074595A">
              <w:rPr>
                <w:rFonts w:cs="Arial"/>
                <w:iCs/>
                <w:color w:val="000000"/>
                <w:sz w:val="18"/>
                <w:szCs w:val="18"/>
                <w:lang w:val="nl-NL" w:eastAsia="nl-NL"/>
              </w:rPr>
              <w:t>Yes (%)</w:t>
            </w:r>
          </w:p>
        </w:tc>
        <w:tc>
          <w:tcPr>
            <w:tcW w:w="1084" w:type="dxa"/>
            <w:gridSpan w:val="2"/>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80.9</w:t>
            </w:r>
          </w:p>
        </w:tc>
        <w:tc>
          <w:tcPr>
            <w:tcW w:w="1084" w:type="dxa"/>
            <w:tcBorders>
              <w:top w:val="nil"/>
              <w:left w:val="nil"/>
              <w:bottom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88.6</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75.8</w:t>
            </w:r>
          </w:p>
        </w:tc>
        <w:tc>
          <w:tcPr>
            <w:tcW w:w="1084" w:type="dxa"/>
            <w:tcBorders>
              <w:top w:val="nil"/>
              <w:left w:val="nil"/>
              <w:bottom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75.8</w:t>
            </w:r>
          </w:p>
        </w:tc>
      </w:tr>
      <w:tr w:rsidR="003F789A" w:rsidRPr="0074595A" w:rsidTr="00857048">
        <w:trPr>
          <w:trHeight w:val="300"/>
        </w:trPr>
        <w:tc>
          <w:tcPr>
            <w:tcW w:w="5098" w:type="dxa"/>
            <w:gridSpan w:val="2"/>
            <w:tcBorders>
              <w:top w:val="nil"/>
              <w:left w:val="nil"/>
              <w:right w:val="nil"/>
            </w:tcBorders>
            <w:noWrap/>
            <w:vAlign w:val="bottom"/>
          </w:tcPr>
          <w:p w:rsidR="003F789A" w:rsidRPr="0074595A" w:rsidRDefault="003F789A" w:rsidP="0074595A">
            <w:pPr>
              <w:spacing w:after="100" w:afterAutospacing="1" w:line="240" w:lineRule="auto"/>
              <w:rPr>
                <w:rFonts w:cs="Arial"/>
                <w:iCs/>
                <w:color w:val="000000"/>
                <w:sz w:val="18"/>
                <w:szCs w:val="18"/>
                <w:lang w:val="nl-NL" w:eastAsia="nl-NL"/>
              </w:rPr>
            </w:pPr>
            <w:r w:rsidRPr="0074595A">
              <w:rPr>
                <w:rFonts w:cs="Arial"/>
                <w:iCs/>
                <w:color w:val="000000"/>
                <w:sz w:val="18"/>
                <w:szCs w:val="18"/>
                <w:lang w:val="nl-NL" w:eastAsia="nl-NL"/>
              </w:rPr>
              <w:t xml:space="preserve">              Maybe (%)</w:t>
            </w:r>
          </w:p>
        </w:tc>
        <w:tc>
          <w:tcPr>
            <w:tcW w:w="1084" w:type="dxa"/>
            <w:gridSpan w:val="2"/>
            <w:tcBorders>
              <w:top w:val="nil"/>
              <w:left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14.5</w:t>
            </w:r>
          </w:p>
        </w:tc>
        <w:tc>
          <w:tcPr>
            <w:tcW w:w="1084" w:type="dxa"/>
            <w:tcBorders>
              <w:top w:val="nil"/>
              <w:left w:val="nil"/>
              <w:right w:val="nil"/>
            </w:tcBorders>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5.7</w:t>
            </w:r>
          </w:p>
        </w:tc>
        <w:tc>
          <w:tcPr>
            <w:tcW w:w="1084" w:type="dxa"/>
            <w:tcBorders>
              <w:top w:val="nil"/>
              <w:left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12.9</w:t>
            </w:r>
          </w:p>
        </w:tc>
        <w:tc>
          <w:tcPr>
            <w:tcW w:w="1084" w:type="dxa"/>
            <w:tcBorders>
              <w:top w:val="nil"/>
              <w:left w:val="nil"/>
              <w:right w:val="nil"/>
            </w:tcBorders>
            <w:noWrap/>
            <w:vAlign w:val="bottom"/>
          </w:tcPr>
          <w:p w:rsidR="003F789A" w:rsidRPr="0074595A" w:rsidRDefault="003F789A" w:rsidP="0074595A">
            <w:pPr>
              <w:spacing w:after="100" w:afterAutospacing="1" w:line="240" w:lineRule="auto"/>
              <w:jc w:val="right"/>
              <w:rPr>
                <w:rFonts w:cs="Arial"/>
                <w:color w:val="000000"/>
                <w:sz w:val="18"/>
                <w:szCs w:val="18"/>
                <w:lang w:val="nl-NL" w:eastAsia="nl-NL"/>
              </w:rPr>
            </w:pPr>
            <w:r w:rsidRPr="0074595A">
              <w:rPr>
                <w:rFonts w:cs="Arial"/>
                <w:color w:val="000000"/>
                <w:sz w:val="18"/>
                <w:szCs w:val="18"/>
                <w:lang w:val="nl-NL" w:eastAsia="nl-NL"/>
              </w:rPr>
              <w:t>6.1</w:t>
            </w:r>
          </w:p>
        </w:tc>
      </w:tr>
      <w:tr w:rsidR="003F789A" w:rsidRPr="0074595A" w:rsidTr="00857048">
        <w:trPr>
          <w:trHeight w:val="300"/>
        </w:trPr>
        <w:tc>
          <w:tcPr>
            <w:tcW w:w="5098" w:type="dxa"/>
            <w:gridSpan w:val="2"/>
            <w:tcBorders>
              <w:top w:val="nil"/>
              <w:left w:val="nil"/>
              <w:bottom w:val="single" w:sz="4" w:space="0" w:color="auto"/>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gridSpan w:val="2"/>
            <w:tcBorders>
              <w:top w:val="nil"/>
              <w:left w:val="nil"/>
              <w:bottom w:val="single" w:sz="4" w:space="0" w:color="auto"/>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single" w:sz="4" w:space="0" w:color="auto"/>
              <w:right w:val="nil"/>
            </w:tcBorders>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single" w:sz="4" w:space="0" w:color="auto"/>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c>
          <w:tcPr>
            <w:tcW w:w="1084" w:type="dxa"/>
            <w:tcBorders>
              <w:top w:val="nil"/>
              <w:left w:val="nil"/>
              <w:bottom w:val="single" w:sz="4" w:space="0" w:color="auto"/>
              <w:right w:val="nil"/>
            </w:tcBorders>
            <w:noWrap/>
            <w:vAlign w:val="bottom"/>
          </w:tcPr>
          <w:p w:rsidR="003F789A" w:rsidRPr="0074595A" w:rsidRDefault="003F789A" w:rsidP="0074595A">
            <w:pPr>
              <w:spacing w:after="100" w:afterAutospacing="1" w:line="240" w:lineRule="auto"/>
              <w:rPr>
                <w:rFonts w:cs="Arial"/>
                <w:color w:val="000000"/>
                <w:sz w:val="18"/>
                <w:szCs w:val="18"/>
                <w:lang w:val="nl-NL" w:eastAsia="nl-NL"/>
              </w:rPr>
            </w:pPr>
          </w:p>
        </w:tc>
      </w:tr>
    </w:tbl>
    <w:p w:rsidR="003F789A" w:rsidRPr="0074595A" w:rsidRDefault="003F789A" w:rsidP="0074595A">
      <w:pPr>
        <w:spacing w:after="0" w:line="240" w:lineRule="auto"/>
        <w:rPr>
          <w:rFonts w:cs="Arial"/>
          <w:sz w:val="18"/>
          <w:szCs w:val="18"/>
        </w:rPr>
      </w:pPr>
      <w:r w:rsidRPr="0074595A">
        <w:rPr>
          <w:rFonts w:cs="Arial"/>
          <w:sz w:val="18"/>
          <w:szCs w:val="18"/>
        </w:rPr>
        <w:t xml:space="preserve">*on a scale from 1 to 5, where 1=0-999, 2=1000-1499,3=1500-1999, 4=2000-3000, 5&gt;3000 </w:t>
      </w:r>
    </w:p>
    <w:p w:rsidR="003F789A" w:rsidRPr="0074595A" w:rsidRDefault="003F789A" w:rsidP="0074595A">
      <w:pPr>
        <w:spacing w:after="0" w:line="240" w:lineRule="auto"/>
        <w:rPr>
          <w:rFonts w:cs="Arial"/>
          <w:sz w:val="18"/>
          <w:szCs w:val="18"/>
        </w:rPr>
      </w:pPr>
      <w:r w:rsidRPr="0074595A">
        <w:rPr>
          <w:rFonts w:cs="Arial"/>
          <w:sz w:val="18"/>
          <w:szCs w:val="18"/>
        </w:rPr>
        <w:t>** on a scale from 0 to 4, where 0=no education, 1=primary, 2=secondary, 3=bachelor/higher degree and 4= postgraduate</w:t>
      </w:r>
      <w:r>
        <w:rPr>
          <w:rFonts w:cs="Arial"/>
          <w:sz w:val="18"/>
          <w:szCs w:val="18"/>
        </w:rPr>
        <w:t>.</w:t>
      </w:r>
      <w:r w:rsidRPr="0074595A">
        <w:rPr>
          <w:rFonts w:cs="Arial"/>
          <w:sz w:val="18"/>
          <w:szCs w:val="18"/>
        </w:rPr>
        <w:t xml:space="preserve"> </w:t>
      </w:r>
      <w:r w:rsidRPr="0074595A">
        <w:rPr>
          <w:rFonts w:cs="Arial"/>
          <w:sz w:val="18"/>
          <w:szCs w:val="18"/>
        </w:rPr>
        <w:tab/>
      </w:r>
    </w:p>
    <w:p w:rsidR="003F789A" w:rsidRDefault="003F789A" w:rsidP="0074595A">
      <w:pPr>
        <w:spacing w:after="100" w:afterAutospacing="1" w:line="360" w:lineRule="auto"/>
        <w:rPr>
          <w:rFonts w:cs="Arial"/>
          <w:sz w:val="20"/>
        </w:rPr>
      </w:pPr>
    </w:p>
    <w:p w:rsidR="003F789A" w:rsidRPr="00857048" w:rsidRDefault="003F789A" w:rsidP="0074595A">
      <w:pPr>
        <w:spacing w:after="100" w:afterAutospacing="1" w:line="360" w:lineRule="auto"/>
        <w:rPr>
          <w:rFonts w:cs="Arial"/>
          <w:sz w:val="20"/>
        </w:rPr>
      </w:pPr>
      <w:r w:rsidRPr="00857048">
        <w:rPr>
          <w:rFonts w:cs="Arial"/>
          <w:sz w:val="20"/>
        </w:rPr>
        <w:t xml:space="preserve">As became apparent in the class probability function (Table 6), the classes differ significantly when looking at place of residence (urban versus rural, χ²= 9.5414, </w:t>
      </w:r>
      <w:proofErr w:type="spellStart"/>
      <w:r w:rsidRPr="00857048">
        <w:rPr>
          <w:rFonts w:cs="Arial"/>
          <w:sz w:val="20"/>
        </w:rPr>
        <w:t>df</w:t>
      </w:r>
      <w:proofErr w:type="spellEnd"/>
      <w:r w:rsidRPr="00857048">
        <w:rPr>
          <w:rFonts w:cs="Arial"/>
          <w:sz w:val="20"/>
        </w:rPr>
        <w:t xml:space="preserve">=3, p&lt;0.05) and growing up in East Lothian (χ²=15.5326, </w:t>
      </w:r>
      <w:proofErr w:type="spellStart"/>
      <w:r w:rsidRPr="00857048">
        <w:rPr>
          <w:rFonts w:cs="Arial"/>
          <w:sz w:val="20"/>
        </w:rPr>
        <w:t>df</w:t>
      </w:r>
      <w:proofErr w:type="spellEnd"/>
      <w:r w:rsidRPr="00857048">
        <w:rPr>
          <w:rFonts w:cs="Arial"/>
          <w:sz w:val="20"/>
        </w:rPr>
        <w:t>=3, p&lt;0.01).</w:t>
      </w:r>
      <w:r w:rsidRPr="00857048" w:rsidDel="003B7D61">
        <w:rPr>
          <w:rFonts w:cs="Arial"/>
          <w:sz w:val="20"/>
        </w:rPr>
        <w:t xml:space="preserve"> </w:t>
      </w:r>
      <w:r w:rsidRPr="00857048">
        <w:rPr>
          <w:rFonts w:cs="Arial"/>
          <w:sz w:val="20"/>
        </w:rPr>
        <w:t xml:space="preserve">Class 2 consists of more urban residents (45.7%) than the other classes. Class 4 is clearly characterized by respondents who grew up in East Lothian and who have lived there for a long time (relative to age). Residence time (F=3.5696, </w:t>
      </w:r>
      <w:proofErr w:type="spellStart"/>
      <w:r w:rsidRPr="00857048">
        <w:rPr>
          <w:rFonts w:cs="Arial"/>
          <w:sz w:val="20"/>
        </w:rPr>
        <w:t>df</w:t>
      </w:r>
      <w:proofErr w:type="spellEnd"/>
      <w:r w:rsidRPr="00857048">
        <w:rPr>
          <w:rFonts w:cs="Arial"/>
          <w:sz w:val="20"/>
        </w:rPr>
        <w:t xml:space="preserve">=3, p&lt;0.05) differed significantly between classes. No significant differences were found for education and income between the classes. </w:t>
      </w:r>
    </w:p>
    <w:p w:rsidR="003F789A" w:rsidRPr="00857048" w:rsidRDefault="003F789A" w:rsidP="0074595A">
      <w:pPr>
        <w:spacing w:after="100" w:afterAutospacing="1" w:line="360" w:lineRule="auto"/>
        <w:rPr>
          <w:rFonts w:cs="Arial"/>
          <w:sz w:val="20"/>
        </w:rPr>
      </w:pPr>
      <w:r w:rsidRPr="00857048">
        <w:rPr>
          <w:rFonts w:cs="Arial"/>
          <w:sz w:val="20"/>
        </w:rPr>
        <w:t xml:space="preserve">Recreation and maintaining the traditional character of the landscape were mentioned often as an important </w:t>
      </w:r>
      <w:r>
        <w:rPr>
          <w:rFonts w:cs="Arial"/>
          <w:sz w:val="20"/>
        </w:rPr>
        <w:t>ES</w:t>
      </w:r>
      <w:r w:rsidRPr="00857048">
        <w:rPr>
          <w:rFonts w:cs="Arial"/>
          <w:sz w:val="20"/>
        </w:rPr>
        <w:t xml:space="preserve"> by all groups. There was a significant difference between classes concerning the support of biodiversity (χ²=15.24, </w:t>
      </w:r>
      <w:proofErr w:type="spellStart"/>
      <w:r w:rsidRPr="00857048">
        <w:rPr>
          <w:rFonts w:cs="Arial"/>
          <w:sz w:val="20"/>
        </w:rPr>
        <w:t>df</w:t>
      </w:r>
      <w:proofErr w:type="spellEnd"/>
      <w:r w:rsidRPr="00857048">
        <w:rPr>
          <w:rFonts w:cs="Arial"/>
          <w:sz w:val="20"/>
        </w:rPr>
        <w:t xml:space="preserve">=3, p&lt;0.01), which was a more important function for respondents in class 3 than it was for respondents in class 1 and 2. Significant differences were also found for tourism (χ²=13.4399, </w:t>
      </w:r>
      <w:proofErr w:type="spellStart"/>
      <w:r w:rsidRPr="00857048">
        <w:rPr>
          <w:rFonts w:cs="Arial"/>
          <w:sz w:val="20"/>
        </w:rPr>
        <w:t>df</w:t>
      </w:r>
      <w:proofErr w:type="spellEnd"/>
      <w:r w:rsidRPr="00857048">
        <w:rPr>
          <w:rFonts w:cs="Arial"/>
          <w:sz w:val="20"/>
        </w:rPr>
        <w:t xml:space="preserve">=3, p&lt;0.01) which was found more important in class 2 than in the other groups, and for supporting agriculture (χ²=8.1606, </w:t>
      </w:r>
      <w:proofErr w:type="spellStart"/>
      <w:r w:rsidRPr="00857048">
        <w:rPr>
          <w:rFonts w:cs="Arial"/>
          <w:sz w:val="20"/>
        </w:rPr>
        <w:t>df</w:t>
      </w:r>
      <w:proofErr w:type="spellEnd"/>
      <w:r w:rsidRPr="00857048">
        <w:rPr>
          <w:rFonts w:cs="Arial"/>
          <w:sz w:val="20"/>
        </w:rPr>
        <w:t xml:space="preserve">=3, p&lt;0.05), which was found more important in class 1 than in class 2. </w:t>
      </w:r>
    </w:p>
    <w:p w:rsidR="003F789A" w:rsidRPr="00857048" w:rsidRDefault="003F789A" w:rsidP="0074595A">
      <w:pPr>
        <w:spacing w:after="100" w:afterAutospacing="1" w:line="360" w:lineRule="auto"/>
        <w:rPr>
          <w:rFonts w:cs="Arial"/>
          <w:sz w:val="20"/>
        </w:rPr>
      </w:pPr>
      <w:r w:rsidRPr="00857048">
        <w:rPr>
          <w:rFonts w:cs="Arial"/>
          <w:sz w:val="20"/>
        </w:rPr>
        <w:t xml:space="preserve">Regarding the attitudes towards residential development, significant differences between classes were found for statement 1 (χ²= 16.9447, </w:t>
      </w:r>
      <w:proofErr w:type="spellStart"/>
      <w:r w:rsidRPr="00857048">
        <w:rPr>
          <w:rFonts w:cs="Arial"/>
          <w:sz w:val="20"/>
        </w:rPr>
        <w:t>df</w:t>
      </w:r>
      <w:proofErr w:type="spellEnd"/>
      <w:r w:rsidRPr="00857048">
        <w:rPr>
          <w:rFonts w:cs="Arial"/>
          <w:sz w:val="20"/>
        </w:rPr>
        <w:t xml:space="preserve">=3, p&lt;0.01), where respondents in class 1  agreed less with the notion that </w:t>
      </w:r>
      <w:r w:rsidRPr="00857048">
        <w:rPr>
          <w:rFonts w:cs="Arial"/>
          <w:bCs/>
          <w:color w:val="000000"/>
          <w:sz w:val="20"/>
          <w:lang w:eastAsia="nl-NL"/>
        </w:rPr>
        <w:t>additional housing will have a negative effect on the landscape  than respondents in the other classes.</w:t>
      </w:r>
      <w:r w:rsidRPr="00857048">
        <w:rPr>
          <w:rFonts w:cs="Arial"/>
          <w:sz w:val="20"/>
        </w:rPr>
        <w:t xml:space="preserve"> Respondents in class 4 agreed significantly more with the statement there are already enough houses in East Lothian than respondents in class 1 and 2 (χ²=16.9701, </w:t>
      </w:r>
      <w:proofErr w:type="spellStart"/>
      <w:r w:rsidRPr="00857048">
        <w:rPr>
          <w:rFonts w:cs="Arial"/>
          <w:sz w:val="20"/>
        </w:rPr>
        <w:t>df</w:t>
      </w:r>
      <w:proofErr w:type="spellEnd"/>
      <w:r w:rsidRPr="00857048">
        <w:rPr>
          <w:rFonts w:cs="Arial"/>
          <w:sz w:val="20"/>
        </w:rPr>
        <w:t xml:space="preserve">=3, &lt;0.01). Consistent with this result, respondents in class 4 also agreed significantly less with the statement that additional housing is necessary (χ²=12.0572, </w:t>
      </w:r>
      <w:proofErr w:type="spellStart"/>
      <w:r w:rsidRPr="00857048">
        <w:rPr>
          <w:rFonts w:cs="Arial"/>
          <w:sz w:val="20"/>
        </w:rPr>
        <w:t>df</w:t>
      </w:r>
      <w:proofErr w:type="spellEnd"/>
      <w:r w:rsidRPr="00857048">
        <w:rPr>
          <w:rFonts w:cs="Arial"/>
          <w:sz w:val="20"/>
        </w:rPr>
        <w:t xml:space="preserve">=3, p&lt;0.01). </w:t>
      </w:r>
    </w:p>
    <w:p w:rsidR="003F789A" w:rsidRPr="00857048" w:rsidRDefault="003F789A" w:rsidP="0074595A">
      <w:pPr>
        <w:spacing w:after="100" w:afterAutospacing="1" w:line="360" w:lineRule="auto"/>
        <w:rPr>
          <w:rFonts w:cs="Arial"/>
          <w:sz w:val="20"/>
        </w:rPr>
      </w:pPr>
      <w:r w:rsidRPr="00857048">
        <w:rPr>
          <w:rFonts w:cs="Arial"/>
          <w:sz w:val="20"/>
        </w:rPr>
        <w:lastRenderedPageBreak/>
        <w:t xml:space="preserve">Finally, significant differences were also found between the classes for the question as to whether woodland restoration is adequate to compensate for additional housing. (χ²=16.2304, </w:t>
      </w:r>
      <w:proofErr w:type="spellStart"/>
      <w:r w:rsidRPr="00857048">
        <w:rPr>
          <w:rFonts w:cs="Arial"/>
          <w:sz w:val="20"/>
        </w:rPr>
        <w:t>df</w:t>
      </w:r>
      <w:proofErr w:type="spellEnd"/>
      <w:r w:rsidRPr="00857048">
        <w:rPr>
          <w:rFonts w:cs="Arial"/>
          <w:sz w:val="20"/>
        </w:rPr>
        <w:t>=3, p&lt;0.01). Whereas most respondents in class 1 and 2 thought environmental compensation would be adequate, respondents in class 3 and 4 did not. A majority of the respondents in all classes agreed that environmental compensation should be mandatory.</w:t>
      </w:r>
    </w:p>
    <w:p w:rsidR="003F789A" w:rsidRPr="006D566F" w:rsidRDefault="003F789A" w:rsidP="006D566F">
      <w:pPr>
        <w:spacing w:after="0" w:line="360" w:lineRule="auto"/>
        <w:rPr>
          <w:rFonts w:cs="Arial"/>
          <w:b/>
          <w:i/>
          <w:sz w:val="20"/>
        </w:rPr>
      </w:pPr>
      <w:r w:rsidRPr="006D566F">
        <w:rPr>
          <w:rFonts w:cs="Arial"/>
          <w:b/>
          <w:i/>
          <w:sz w:val="20"/>
        </w:rPr>
        <w:t>Spatial distribution of class probabilities</w:t>
      </w:r>
    </w:p>
    <w:p w:rsidR="003F789A" w:rsidRPr="00857048" w:rsidRDefault="003F789A" w:rsidP="0074595A">
      <w:pPr>
        <w:spacing w:after="100" w:afterAutospacing="1" w:line="360" w:lineRule="auto"/>
        <w:rPr>
          <w:rFonts w:cs="Arial"/>
          <w:sz w:val="20"/>
        </w:rPr>
      </w:pPr>
      <w:r w:rsidRPr="00857048">
        <w:rPr>
          <w:rFonts w:cs="Arial"/>
          <w:sz w:val="20"/>
        </w:rPr>
        <w:t xml:space="preserve">The results from the previous sections indicate a difference between urban and rural residents. To further explore the effect of place of residence, we created a map which shows the composition of the latent classes for each town (Fig. 5). Respondents that fit in the second class, who mind housing the least, are slightly more represented in areas close to Edinburgh. This is, however, not merely a function of distance: the largest proportion of respondents in class 2 can be found in </w:t>
      </w:r>
      <w:proofErr w:type="spellStart"/>
      <w:r w:rsidRPr="00857048">
        <w:rPr>
          <w:rFonts w:cs="Arial"/>
          <w:sz w:val="20"/>
        </w:rPr>
        <w:t>Tranent</w:t>
      </w:r>
      <w:proofErr w:type="spellEnd"/>
      <w:r w:rsidRPr="00857048">
        <w:rPr>
          <w:rFonts w:cs="Arial"/>
          <w:sz w:val="20"/>
        </w:rPr>
        <w:t xml:space="preserve">, and not closest to the border with Edinburgh. </w:t>
      </w:r>
      <w:proofErr w:type="spellStart"/>
      <w:r w:rsidRPr="00857048">
        <w:rPr>
          <w:rFonts w:cs="Arial"/>
          <w:sz w:val="20"/>
        </w:rPr>
        <w:t>Tranent</w:t>
      </w:r>
      <w:proofErr w:type="spellEnd"/>
      <w:r w:rsidRPr="00857048">
        <w:rPr>
          <w:rFonts w:cs="Arial"/>
          <w:sz w:val="20"/>
        </w:rPr>
        <w:t xml:space="preserve"> has recently seen a lot of new housing.</w:t>
      </w:r>
    </w:p>
    <w:p w:rsidR="003F789A" w:rsidRPr="00857048" w:rsidRDefault="003F789A" w:rsidP="0074595A">
      <w:pPr>
        <w:spacing w:after="100" w:afterAutospacing="1" w:line="360" w:lineRule="auto"/>
        <w:rPr>
          <w:rFonts w:cs="Arial"/>
          <w:sz w:val="20"/>
        </w:rPr>
      </w:pPr>
      <w:r w:rsidRPr="00857048">
        <w:rPr>
          <w:rFonts w:cs="Arial"/>
          <w:sz w:val="20"/>
        </w:rPr>
        <w:t xml:space="preserve">The largest proportion of respondents in class 4, who oppose housing most strongly, can be found in Haddington. This, could be explained by the historical character of Haddington and its importance as, not only the geographical, but also the cultural centre of East Lothian. Respondents in Haddington could therefore be more resistant to change. </w:t>
      </w:r>
    </w:p>
    <w:p w:rsidR="003F789A" w:rsidRPr="00857048" w:rsidRDefault="008C4819" w:rsidP="00857048">
      <w:pPr>
        <w:spacing w:after="100" w:afterAutospacing="1" w:line="360" w:lineRule="auto"/>
        <w:rPr>
          <w:rFonts w:cs="Arial"/>
          <w:sz w:val="20"/>
        </w:rPr>
      </w:pPr>
      <w:r>
        <w:rPr>
          <w:rFonts w:cs="Arial"/>
          <w:noProof/>
          <w:sz w:val="20"/>
          <w:lang w:val="en-IE" w:eastAsia="en-IE"/>
        </w:rPr>
        <w:drawing>
          <wp:inline distT="0" distB="0" distL="0" distR="0">
            <wp:extent cx="3914140" cy="2241550"/>
            <wp:effectExtent l="19050" t="19050" r="10160" b="25400"/>
            <wp:docPr id="35" name="Picture 8" descr="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5.png"/>
                    <pic:cNvPicPr>
                      <a:picLocks noChangeAspect="1" noChangeArrowheads="1"/>
                    </pic:cNvPicPr>
                  </pic:nvPicPr>
                  <pic:blipFill>
                    <a:blip r:embed="rId22">
                      <a:extLst>
                        <a:ext uri="{28A0092B-C50C-407E-A947-70E740481C1C}">
                          <a14:useLocalDpi xmlns:a14="http://schemas.microsoft.com/office/drawing/2010/main" val="0"/>
                        </a:ext>
                      </a:extLst>
                    </a:blip>
                    <a:srcRect t="25027" r="1642" b="28026"/>
                    <a:stretch>
                      <a:fillRect/>
                    </a:stretch>
                  </pic:blipFill>
                  <pic:spPr bwMode="auto">
                    <a:xfrm>
                      <a:off x="0" y="0"/>
                      <a:ext cx="3914140" cy="2241550"/>
                    </a:xfrm>
                    <a:prstGeom prst="rect">
                      <a:avLst/>
                    </a:prstGeom>
                    <a:noFill/>
                    <a:ln w="9525" cmpd="sng">
                      <a:solidFill>
                        <a:srgbClr val="000000"/>
                      </a:solidFill>
                      <a:miter lim="800000"/>
                      <a:headEnd/>
                      <a:tailEnd/>
                    </a:ln>
                    <a:effectLst/>
                  </pic:spPr>
                </pic:pic>
              </a:graphicData>
            </a:graphic>
          </wp:inline>
        </w:drawing>
      </w:r>
    </w:p>
    <w:p w:rsidR="003F789A" w:rsidRPr="00934054" w:rsidRDefault="003F789A" w:rsidP="00934054">
      <w:pPr>
        <w:spacing w:after="100" w:afterAutospacing="1" w:line="240" w:lineRule="auto"/>
        <w:rPr>
          <w:rFonts w:cs="Arial"/>
          <w:sz w:val="18"/>
          <w:szCs w:val="18"/>
        </w:rPr>
      </w:pPr>
      <w:r w:rsidRPr="00934054">
        <w:rPr>
          <w:rFonts w:cs="Arial"/>
          <w:sz w:val="18"/>
          <w:szCs w:val="18"/>
        </w:rPr>
        <w:t xml:space="preserve">Figure 5. Spatial distribution of the latent classes. The urban rural classification is according to the Scottish urban rural classification 2012-2013. The size of the pie charts is conditional on the number of respondents that lived in the town. 32 respondents were excluded from this analysis as they did not live in any of the larger settlements but were dispersed over the small towns in East Lothian. </w:t>
      </w:r>
    </w:p>
    <w:p w:rsidR="003F789A" w:rsidRPr="00857048" w:rsidRDefault="003F789A" w:rsidP="00934054">
      <w:pPr>
        <w:spacing w:after="100" w:afterAutospacing="1" w:line="360" w:lineRule="auto"/>
        <w:rPr>
          <w:rFonts w:cs="Arial"/>
          <w:sz w:val="20"/>
        </w:rPr>
      </w:pPr>
      <w:r w:rsidRPr="00857048">
        <w:rPr>
          <w:rFonts w:cs="Arial"/>
          <w:sz w:val="20"/>
        </w:rPr>
        <w:t xml:space="preserve">Class 1 contained the largest proportion of respondents in all towns except North Berwick. North Berwick has a larger representation of respondents in class 3 than the other towns. As was demonstrated, this class had particularly high values for biodiversity. The high representation of class 3 in North Berwick could possibly be related to the presence of the Scottish Seabird Centre, making residents more aware of biodiversity issues than in other areas. </w:t>
      </w:r>
    </w:p>
    <w:p w:rsidR="003F789A" w:rsidRPr="00857048" w:rsidRDefault="003F789A" w:rsidP="0032165B">
      <w:pPr>
        <w:pStyle w:val="Heading3"/>
        <w:numPr>
          <w:ilvl w:val="2"/>
          <w:numId w:val="35"/>
        </w:numPr>
        <w:ind w:left="851" w:hanging="851"/>
      </w:pPr>
      <w:bookmarkStart w:id="73" w:name="_Toc436757148"/>
      <w:bookmarkStart w:id="74" w:name="_Toc436758087"/>
      <w:r>
        <w:lastRenderedPageBreak/>
        <w:t xml:space="preserve"> </w:t>
      </w:r>
      <w:bookmarkStart w:id="75" w:name="_Toc436915611"/>
      <w:bookmarkStart w:id="76" w:name="_Toc436916052"/>
      <w:r w:rsidRPr="00857048">
        <w:t>Discussion</w:t>
      </w:r>
      <w:bookmarkEnd w:id="73"/>
      <w:bookmarkEnd w:id="74"/>
      <w:bookmarkEnd w:id="75"/>
      <w:bookmarkEnd w:id="76"/>
    </w:p>
    <w:p w:rsidR="003F789A" w:rsidRDefault="003F789A" w:rsidP="00934054">
      <w:pPr>
        <w:spacing w:after="100" w:afterAutospacing="1" w:line="360" w:lineRule="auto"/>
        <w:rPr>
          <w:rFonts w:cs="Arial"/>
          <w:sz w:val="20"/>
        </w:rPr>
      </w:pPr>
    </w:p>
    <w:p w:rsidR="003F789A" w:rsidRPr="00857048" w:rsidRDefault="003F789A" w:rsidP="00934054">
      <w:pPr>
        <w:spacing w:after="100" w:afterAutospacing="1" w:line="360" w:lineRule="auto"/>
        <w:rPr>
          <w:rFonts w:cs="Arial"/>
          <w:sz w:val="20"/>
        </w:rPr>
      </w:pPr>
      <w:r w:rsidRPr="00857048">
        <w:rPr>
          <w:rFonts w:cs="Arial"/>
          <w:sz w:val="20"/>
        </w:rPr>
        <w:t xml:space="preserve">Mitigating impacts from land use change is commonly focused on biodiversity </w:t>
      </w:r>
      <w:r w:rsidRPr="00857048">
        <w:rPr>
          <w:rFonts w:cs="Arial"/>
          <w:sz w:val="20"/>
        </w:rPr>
        <w:fldChar w:fldCharType="begin" w:fldLock="1"/>
      </w:r>
      <w:r w:rsidRPr="00857048">
        <w:rPr>
          <w:rFonts w:cs="Arial"/>
          <w:sz w:val="20"/>
        </w:rPr>
        <w:instrText>ADDIN CSL_CITATION { "citationItems" : [ { "id" : "ITEM-1", "itemData" : { "DOI" : "10.1016/j.eiar.2015.06.005", "ISSN" : "01959255", "abstract" : "Emerging development policies and lending standards call for consideration of ecosystem services when mitigating impacts from development, yet little guidance exists to inform this process. Here we propose a comprehensive framework for advancing both biodiversity and ecosystem service mitigation. We have clarified a means for choosing representative ecosystem service targets alongside biodiversity targets, identified servicesheds as a useful spatial unit for assessing ecosystem service avoidance, impact, and offset options, and discuss methods for consistent calculation of biodiversity and ecosystem service mitigation ratios. We emphasize the need to move away from area- and habitat-based assessment methods for both biodiversity and ecosystem services towards functional assessments at landscape or seascape scales. Such comprehensive assessments more accurately reflect cumulative impacts and variation in environmental quality, social needs and value preferences. The integrated framework builds on the experience of biodiversity mitigation while addressing the unique opportunities and challenges presented by ecosystem service mitigation. These advances contribute to growing potential for economic development planning and execution that will minimize impacts on nature and maximize human wellbeing.", "author" : [ { "dropping-particle" : "", "family" : "Tallis", "given" : "Heather", "non-dropping-particle" : "", "parse-names" : false, "suffix" : "" }, { "dropping-particle" : "", "family" : "Kennedy", "given" : "Christina M.", "non-dropping-particle" : "", "parse-names" : false, "suffix" : "" }, { "dropping-particle" : "", "family" : "Ruckelshaus", "given" : "Mary", "non-dropping-particle" : "", "parse-names" : false, "suffix" : "" }, { "dropping-particle" : "", "family" : "Goldstein", "given" : "Joshua", "non-dropping-particle" : "", "parse-names" : false, "suffix" : "" }, { "dropping-particle" : "", "family" : "Kiesecker", "given" : "Joseph M.", "non-dropping-particle" : "", "parse-names" : false, "suffix" : "" } ], "container-title" : "Environmental Impact Assessment Review", "id" : "ITEM-1", "issued" : { "date-parts" : [ [ "2015", "11" ] ] }, "page" : "21-34", "title" : "Mitigation for one &amp; all: An integrated framework for mitigation of development impacts on biodiversity and ecosystem services", "type" : "article-journal", "volume" : "55" }, "uris" : [ "http://www.mendeley.com/documents/?uuid=e3cb5083-cc19-4acb-b202-50e140a436f2" ] } ], "mendeley" : { "formattedCitation" : "(Tallis et al., 2015)", "plainTextFormattedCitation" : "(Tallis et al., 2015)", "previouslyFormattedCitation" : "(Tallis et al., 2015)" }, "properties" : { "noteIndex" : 0 }, "schema" : "https://github.com/citation-style-language/schema/raw/master/csl-citation.json" }</w:instrText>
      </w:r>
      <w:r w:rsidRPr="00857048">
        <w:rPr>
          <w:rFonts w:cs="Arial"/>
          <w:sz w:val="20"/>
        </w:rPr>
        <w:fldChar w:fldCharType="separate"/>
      </w:r>
      <w:r w:rsidRPr="00857048">
        <w:rPr>
          <w:rFonts w:cs="Arial"/>
          <w:noProof/>
          <w:sz w:val="20"/>
        </w:rPr>
        <w:t>(Tallis et al., 2015)</w:t>
      </w:r>
      <w:r w:rsidRPr="00857048">
        <w:rPr>
          <w:rFonts w:cs="Arial"/>
          <w:sz w:val="20"/>
        </w:rPr>
        <w:fldChar w:fldCharType="end"/>
      </w:r>
      <w:r w:rsidRPr="00857048">
        <w:rPr>
          <w:rFonts w:cs="Arial"/>
          <w:sz w:val="20"/>
        </w:rPr>
        <w:t xml:space="preserve">, thereby neglecting other </w:t>
      </w:r>
      <w:r>
        <w:rPr>
          <w:rFonts w:cs="Arial"/>
          <w:sz w:val="20"/>
        </w:rPr>
        <w:t>ES</w:t>
      </w:r>
      <w:r w:rsidRPr="00857048">
        <w:rPr>
          <w:rFonts w:cs="Arial"/>
          <w:sz w:val="20"/>
        </w:rPr>
        <w:t xml:space="preserve">s provided by the landscape and the preferences of local residents. This paper took up the challenge of taking the broader </w:t>
      </w:r>
      <w:r>
        <w:rPr>
          <w:rFonts w:cs="Arial"/>
          <w:sz w:val="20"/>
        </w:rPr>
        <w:t>ES</w:t>
      </w:r>
      <w:r w:rsidRPr="00857048">
        <w:rPr>
          <w:rFonts w:cs="Arial"/>
          <w:sz w:val="20"/>
        </w:rPr>
        <w:t xml:space="preserve">s perspective in assessing residents’ preferences for alternative compensation options and their willingness to offset additional urban development for woodland restoration. </w:t>
      </w:r>
    </w:p>
    <w:p w:rsidR="003F789A" w:rsidRPr="006D566F" w:rsidRDefault="003F789A" w:rsidP="006D566F">
      <w:pPr>
        <w:pStyle w:val="ListParagraph"/>
        <w:ind w:left="0" w:right="-896"/>
        <w:jc w:val="both"/>
        <w:rPr>
          <w:rFonts w:ascii="Arial" w:hAnsi="Arial" w:cs="Arial"/>
          <w:b/>
          <w:sz w:val="20"/>
          <w:szCs w:val="20"/>
        </w:rPr>
      </w:pPr>
      <w:r w:rsidRPr="006D566F">
        <w:rPr>
          <w:rFonts w:ascii="Arial" w:hAnsi="Arial" w:cs="Arial"/>
          <w:b/>
          <w:sz w:val="20"/>
          <w:szCs w:val="20"/>
        </w:rPr>
        <w:t>Residents’ acceptance of environmental compensation to offset impacts from additional housing</w:t>
      </w:r>
    </w:p>
    <w:p w:rsidR="003F789A" w:rsidRPr="00857048" w:rsidRDefault="003F789A" w:rsidP="00934054">
      <w:pPr>
        <w:spacing w:after="100" w:afterAutospacing="1" w:line="360" w:lineRule="auto"/>
        <w:rPr>
          <w:rFonts w:cs="Arial"/>
          <w:sz w:val="20"/>
        </w:rPr>
      </w:pPr>
      <w:r w:rsidRPr="00857048">
        <w:rPr>
          <w:rFonts w:cs="Arial"/>
          <w:sz w:val="20"/>
        </w:rPr>
        <w:t xml:space="preserve"> Following our results, it is important to distinguish between the necessity and adequacy of environmental compensation. Most respondents agreed with the statement that additional housing in East Lothian would have a negative impact on the landscape of East Lothian. A majority of the respondents also stated that environmental compensation should be mandatory when building additional housing in East Lothian. This indicates that there is overall support for the general idea of environmental compensation and/or biodiversity offsets and that, if impact cannot be avoided, environmental compensation should be implemented. Similar findings were obtained in by </w:t>
      </w:r>
      <w:r w:rsidRPr="00857048">
        <w:rPr>
          <w:rFonts w:cs="Arial"/>
          <w:sz w:val="20"/>
        </w:rPr>
        <w:fldChar w:fldCharType="begin" w:fldLock="1"/>
      </w:r>
      <w:r w:rsidRPr="00857048">
        <w:rPr>
          <w:rFonts w:cs="Arial"/>
          <w:sz w:val="20"/>
        </w:rPr>
        <w:instrText>ADDIN CSL_CITATION { "citationItems" : [ { "id" : "ITEM-1", "itemData" : { "DOI" : "10.1111/j.1523-1739.2004.00367.x", "ISSN" : "0888-8892", "author" : [ { "dropping-particle" : "", "family" : "Bauer", "given" : "Dana Marie", "non-dropping-particle" : "", "parse-names" : false, "suffix" : "" }, { "dropping-particle" : "", "family" : "Cyr", "given" : "NIcole E.", "non-dropping-particle" : "", "parse-names" : false, "suffix" : "" }, { "dropping-particle" : "", "family" : "Swallow", "given" : "Stephen K.", "non-dropping-particle" : "", "parse-names" : false, "suffix" : "" } ], "container-title" : "Conservation Biology", "id" : "ITEM-1", "issue" : "2", "issued" : { "date-parts" : [ [ "2004", "4" ] ] }, "page" : "401-411", "title" : "Public Preferences for Compensatory Mitigation of Salt Marsh Losses: a Contingent Choice of Alternatives", "type" : "article-journal", "volume" : "18" }, "uris" : [ "http://www.mendeley.com/documents/?uuid=890ff5c2-afc6-4ea2-a90b-60d9a102ddce" ] } ], "mendeley" : { "formattedCitation" : "(Bauer et al., 2004)", "manualFormatting" : "Bauer et al. (2004)", "plainTextFormattedCitation" : "(Bauer et al., 2004)", "previouslyFormattedCitation" : "(Bauer et al., 2004)" }, "properties" : { "noteIndex" : 0 }, "schema" : "https://github.com/citation-style-language/schema/raw/master/csl-citation.json" }</w:instrText>
      </w:r>
      <w:r w:rsidRPr="00857048">
        <w:rPr>
          <w:rFonts w:cs="Arial"/>
          <w:sz w:val="20"/>
        </w:rPr>
        <w:fldChar w:fldCharType="separate"/>
      </w:r>
      <w:r w:rsidRPr="00857048">
        <w:rPr>
          <w:rFonts w:cs="Arial"/>
          <w:noProof/>
          <w:sz w:val="20"/>
        </w:rPr>
        <w:t>Bauer et al. (2004)</w:t>
      </w:r>
      <w:r w:rsidRPr="00857048">
        <w:rPr>
          <w:rFonts w:cs="Arial"/>
          <w:sz w:val="20"/>
        </w:rPr>
        <w:fldChar w:fldCharType="end"/>
      </w:r>
      <w:r w:rsidRPr="00857048">
        <w:rPr>
          <w:rFonts w:cs="Arial"/>
          <w:sz w:val="20"/>
        </w:rPr>
        <w:t xml:space="preserve">, who, studying preferences for wetland mitigation banking in the US, found that people were in favour of some mitigation rather than none, despite the additional costs. </w:t>
      </w:r>
    </w:p>
    <w:p w:rsidR="003F789A" w:rsidRPr="00857048" w:rsidRDefault="003F789A" w:rsidP="00934054">
      <w:pPr>
        <w:spacing w:after="100" w:afterAutospacing="1" w:line="360" w:lineRule="auto"/>
        <w:rPr>
          <w:rFonts w:cs="Arial"/>
          <w:sz w:val="20"/>
        </w:rPr>
      </w:pPr>
      <w:r w:rsidRPr="00857048">
        <w:rPr>
          <w:rFonts w:cs="Arial"/>
          <w:sz w:val="20"/>
        </w:rPr>
        <w:t xml:space="preserve">Our assessment of values for </w:t>
      </w:r>
      <w:r>
        <w:rPr>
          <w:rFonts w:cs="Arial"/>
          <w:sz w:val="20"/>
        </w:rPr>
        <w:t>ES</w:t>
      </w:r>
      <w:r w:rsidRPr="00857048">
        <w:rPr>
          <w:rFonts w:cs="Arial"/>
          <w:sz w:val="20"/>
        </w:rPr>
        <w:t>s shows that residential development was perceived mostly as a threat to biodiversity and the traditional character of the landscape. These two aspects of the landscape were also highly valued by residents</w:t>
      </w:r>
      <w:r>
        <w:rPr>
          <w:rFonts w:cs="Arial"/>
          <w:sz w:val="20"/>
        </w:rPr>
        <w:t xml:space="preserve"> </w:t>
      </w:r>
      <w:r w:rsidRPr="00857048">
        <w:rPr>
          <w:rFonts w:cs="Arial"/>
          <w:sz w:val="20"/>
        </w:rPr>
        <w:t xml:space="preserve">indicating the importance of mitigating adverse environmental impacts due to urban sprawl. Given the high values respondents had for biodiversity, people could be very positive towards the restoration of woodlands to support biodiversity In our study area, the re-introduction of shelterbelts, in combination with patches of forest, may have great potential to both restore the traditional character of the landscape and improve conditions for biodiversity. However, as people did not associate shelterbelts much with supporting biodiversity, proper communication of their biodiversity benefits may be needed to achieve public support.  </w:t>
      </w:r>
    </w:p>
    <w:p w:rsidR="003F789A" w:rsidRPr="00857048" w:rsidRDefault="003F789A" w:rsidP="00934054">
      <w:pPr>
        <w:spacing w:after="100" w:afterAutospacing="1" w:line="360" w:lineRule="auto"/>
        <w:rPr>
          <w:rFonts w:cs="Arial"/>
          <w:sz w:val="20"/>
        </w:rPr>
      </w:pPr>
      <w:r w:rsidRPr="00857048">
        <w:rPr>
          <w:rFonts w:cs="Arial"/>
          <w:sz w:val="20"/>
        </w:rPr>
        <w:t xml:space="preserve">In contrast to opinions about the necessity of environmental compensation, there is far less agreement about the extent to which environmental compensation could be an adequate tool to compensate for additional housing in East Lothian. This predominantly relates to the extent to which additional housing is perceived as problematic. Environmental compensation has potential to mitigate the environmental impacts associated with urban sprawl, but urban sprawl can also have important social impacts. The migration of former urban residents to the rural countryside changes, not only the landscape, but also the lifestyles of those living in the landscape </w:t>
      </w:r>
      <w:r w:rsidRPr="00857048">
        <w:rPr>
          <w:rFonts w:cs="Arial"/>
          <w:sz w:val="20"/>
        </w:rPr>
        <w:fldChar w:fldCharType="begin" w:fldLock="1"/>
      </w:r>
      <w:r w:rsidRPr="00857048">
        <w:rPr>
          <w:rFonts w:cs="Arial"/>
          <w:sz w:val="20"/>
        </w:rPr>
        <w:instrText>ADDIN CSL_CITATION { "citationItems" : [ { "id" : "ITEM-1", "itemData" : { "DOI" : "10.1080/01426397.2013.772959", "ISSN" : "0142-6397", "abstract" : "AbstractEuropean rural landscapes are, with few exceptions, characterised by farming and forestry as key functions. Whilst farming has been dominant historically and is still a significant dynamic in most regions, urbanisation is also a vital factor. This involves rural?urban emigration, urban expansion and migration from cities into the countryside (counter-urbanisation). A conceptual framework for the analysis and understanding of change patterns in European rural landscapes is presented and then applied at two spatial scales. First, the combined effect on local landscapes of agricultural structural changes and counter-urbanisation is analysed using data from two Danish case studies. Second, their expression at a wider European scale is explored using available regional statistics. Research and policy implications of the change patterns are identified and discussed, highlighting data limitations and challenges of managing the organisational and regulatory interface between local landscapes and international market policy institutions.\nAbstractEuropean rural landscapes are, with few exceptions, characterised by farming and forestry as key functions. Whilst farming has been dominant historically and is still a significant dynamic in most regions, urbanisation is also a vital factor. This involves rural?urban emigration, urban expansion and migration from cities into the countryside (counter-urbanisation). A conceptual framework for the analysis and understanding of change patterns in European rural landscapes is presented and then applied at two spatial scales. First, the combined effect on local landscapes of agricultural structural changes and counter-urbanisation is analysed using data from two Danish case studies. Second, their expression at a wider European scale is explored using available regional statistics. Research and policy implications of the change patterns are identified and discussed, highlighting data limitations and challenges of managing the organisational and regulatory interface between local landscapes and international market policy institutions.", "author" : [ { "dropping-particle" : "", "family" : "Primdahl", "given" : "J\u00f8rgen", "non-dropping-particle" : "", "parse-names" : false, "suffix" : "" }, { "dropping-particle" : "", "family" : "Andersen", "given" : "Erling", "non-dropping-particle" : "", "parse-names" : false, "suffix" : "" }, { "dropping-particle" : "", "family" : "Swaffield", "given" : "Simon", "non-dropping-particle" : "", "parse-names" : false, "suffix" : "" }, { "dropping-particle" : "", "family" : "Kristensen", "given" : "Lone", "non-dropping-particle" : "", "parse-names" : false, "suffix" : "" } ], "container-title" : "Landscape Research", "id" : "ITEM-1", "issue" : "6", "issued" : { "date-parts" : [ [ "2013", "12" ] ] }, "page" : "799-817", "publisher" : "Routledge", "title" : "Intersecting Dynamics of Agricultural Structural Change and Urbanisation within European Rural Landscapes: Change Patterns and Policy Implications", "type" : "article-journal", "volume" : "38" }, "uris" : [ "http://www.mendeley.com/documents/?uuid=6b249271-4871-471e-a803-055fb54ae4f3" ] }, { "id" : "ITEM-2", "itemData" : { "DOI" : "10.1016/S0169-2046(03)00026-4", "ISSN" : "01692046", "abstract" : "Urbanization is one of the fundamental characteristics of the European civilization. It gradually spread from Southeast Europe around 700 b.c., across the whole continent. Cities and the urban networks they formed were always an important factor in the development and shaping of their surrounding regions. Polarization of territory between urban and rural and accessibility are still important aspects in landscape dynamics. Urbanization and its associated transportation infrastructure define the relationship between city and countryside. Urbanization, expressed as the proportion of people living in urban places shows a recent but explosive growth reaching values around 80% in most European countries. Simultaneously the countryside becomes abandoned. Thinking, valuing and planning the countryside is done mainly by urbanites and future rural development is mainly focused upon the urban needs. Thinking of urban places with their associated rural hinterland and spheres of influence has become complex. Clusters of urban places, their situation in a globalizing world and changing accessibility for fast transportation modes are some new factors that affect the change of traditional European cultural landscapes. Urbanization processes show cycles of evolution that spread in different ways through space. Urbanization phases developed at different speeds and time between Northern and Southern Europe. Main cities are affected first, but gradually urbanization processes affect smaller settlements and even remote rural villages. Functional urban regions (FURs) are a new concept, which is also significant for landscape ecologists. Local landscape change can only be comprehended when situated in its general geographical context and with all its related dynamics. Patterns of change are different for the countryside near major cities, for metropolitan villages and for remote rural villages. Planning and designing landscapes for the future requires that this is understood. Urbanized landscapes are highly dynamic, complex and multifunctional. Therefore, detailed inventories of landscape conditions and monitoring of change are urgently needed in order to obtain reliable data for good decision-making.", "author" : [ { "dropping-particle" : "", "family" : "Antrop", "given" : "Marc", "non-dropping-particle" : "", "parse-names" : false, "suffix" : "" } ], "container-title" : "Landscape and Urban Planning", "id" : "ITEM-2", "issue" : "1-4", "issued" : { "date-parts" : [ [ "2004", "3" ] ] }, "page" : "9-26", "title" : "Landscape change and the urbanization process in Europe", "type" : "article-journal", "volume" : "67" }, "uris" : [ "http://www.mendeley.com/documents/?uuid=878f490b-09b7-4166-8dfc-cf9144c4bc57" ] } ], "mendeley" : { "formattedCitation" : "(Antrop, 2004; Primdahl et al., 2013)", "plainTextFormattedCitation" : "(Antrop, 2004; Primdahl et al., 2013)", "previouslyFormattedCitation" : "(Antrop, 2004; Primdahl et al., 2013)" }, "properties" : { "noteIndex" : 0 }, "schema" : "https://github.com/citation-style-language/schema/raw/master/csl-citation.json" }</w:instrText>
      </w:r>
      <w:r w:rsidRPr="00857048">
        <w:rPr>
          <w:rFonts w:cs="Arial"/>
          <w:sz w:val="20"/>
        </w:rPr>
        <w:fldChar w:fldCharType="separate"/>
      </w:r>
      <w:r w:rsidRPr="00857048">
        <w:rPr>
          <w:rFonts w:cs="Arial"/>
          <w:noProof/>
          <w:sz w:val="20"/>
        </w:rPr>
        <w:t>(Antrop, 2004; Primdahl et al., 2013)</w:t>
      </w:r>
      <w:r w:rsidRPr="00857048">
        <w:rPr>
          <w:rFonts w:cs="Arial"/>
          <w:sz w:val="20"/>
        </w:rPr>
        <w:fldChar w:fldCharType="end"/>
      </w:r>
      <w:r w:rsidRPr="00857048">
        <w:rPr>
          <w:rFonts w:cs="Arial"/>
          <w:sz w:val="20"/>
        </w:rPr>
        <w:t xml:space="preserve">. It may not be possible in practice to differentiate between the social and environmental impacts. This could explain why respondents in class 4, who opposed to housing so strongly, were not willing to </w:t>
      </w:r>
      <w:r w:rsidRPr="00857048">
        <w:rPr>
          <w:rFonts w:cs="Arial"/>
          <w:sz w:val="20"/>
        </w:rPr>
        <w:lastRenderedPageBreak/>
        <w:t xml:space="preserve">accept much more housing in return for woodland restoration. In addition to the impact on the landscape, respondents in class 4 may have perceived additional housing as a threat to their own cultural identity, for which woodland restoration cannot compensate. Respondents in this class were characterized by rural residents who grew up in East Lothian and may have strong emotional links to the East Lothian landscape. </w:t>
      </w:r>
      <w:r w:rsidRPr="00857048">
        <w:rPr>
          <w:rFonts w:cs="Arial"/>
          <w:noProof/>
          <w:sz w:val="20"/>
        </w:rPr>
        <w:t xml:space="preserve">High levels of place attachment ‘can result in an emotional sense of loss when these places change or disappear’ </w:t>
      </w:r>
      <w:r w:rsidRPr="00857048">
        <w:rPr>
          <w:rFonts w:cs="Arial"/>
          <w:noProof/>
          <w:sz w:val="20"/>
        </w:rPr>
        <w:fldChar w:fldCharType="begin" w:fldLock="1"/>
      </w:r>
      <w:r w:rsidRPr="00857048">
        <w:rPr>
          <w:rFonts w:cs="Arial"/>
          <w:noProof/>
          <w:sz w:val="20"/>
        </w:rPr>
        <w:instrText>ADDIN CSL_CITATION { "citationItems" : [ { "id" : "ITEM-1", "itemData" : { "DOI" : "10.1016/j.landurbplan.2008.02.001", "ISSN" : "01692046", "abstract" : "Low-density residential development has had a tremendous impact on the rural New England landscape. The costs of sprawl have been well documented in terms of land use and environmental impacts; however, there has been less research on the psychological impacts of sprawl. Place attachment is an area of research that seeks to understand the emotional and psychological connections between people and place. It is important to understand and recognize the emotional attachment local residents may have to the rural landscape, particularly for planners who must address both conservation and residential development in rural areas. This study explores local residents\u2019 attachment to the rural landscape in a small but fast-growing town in Maine. In particular, the study utilized a photo-preference survey to ascertain the level of attachment that local residents have to different landscape types. Further, this study examined the influence that landscape attachment has on residents\u2019 willingness to engage in conservation and land use planning strategies (e.g. farmland protection, historic preservation, zoning, and other land use planning tools). Results indicate that there is a strong positive correlation between rural residents\u2019 level of support for conservation planning and their level of attachment to the landscape. This study renders new evidence for landscape planners that attachment to the land can be a strong motivation for building local residents\u2019 support for land protection strategies.", "author" : [ { "dropping-particle" : "", "family" : "Walker", "given" : "Amanda J.", "non-dropping-particle" : "", "parse-names" : false, "suffix" : "" }, { "dropping-particle" : "", "family" : "Ryan", "given" : "Robert L.", "non-dropping-particle" : "", "parse-names" : false, "suffix" : "" } ], "container-title" : "Landscape and Urban Planning", "id" : "ITEM-1", "issue" : "2", "issued" : { "date-parts" : [ [ "2008", "5" ] ] }, "page" : "141-152", "title" : "Place attachment and landscape preservation in rural New England: A Maine case study", "type" : "article-journal", "volume" : "86" }, "uris" : [ "http://www.mendeley.com/documents/?uuid=00c1c62a-5b21-4fc9-84b5-3dc23da9e96a" ] } ], "mendeley" : { "formattedCitation" : "(Walker and Ryan, 2008)", "plainTextFormattedCitation" : "(Walker and Ryan, 2008)", "previouslyFormattedCitation" : "(Walker and Ryan, 2008)" }, "properties" : { "noteIndex" : 0 }, "schema" : "https://github.com/citation-style-language/schema/raw/master/csl-citation.json" }</w:instrText>
      </w:r>
      <w:r w:rsidRPr="00857048">
        <w:rPr>
          <w:rFonts w:cs="Arial"/>
          <w:noProof/>
          <w:sz w:val="20"/>
        </w:rPr>
        <w:fldChar w:fldCharType="separate"/>
      </w:r>
      <w:r w:rsidRPr="00857048">
        <w:rPr>
          <w:rFonts w:cs="Arial"/>
          <w:noProof/>
          <w:sz w:val="20"/>
        </w:rPr>
        <w:t>(Walker and Ryan, 2008)</w:t>
      </w:r>
      <w:r w:rsidRPr="00857048">
        <w:rPr>
          <w:rFonts w:cs="Arial"/>
          <w:noProof/>
          <w:sz w:val="20"/>
        </w:rPr>
        <w:fldChar w:fldCharType="end"/>
      </w:r>
      <w:r w:rsidRPr="00857048">
        <w:rPr>
          <w:rFonts w:cs="Arial"/>
          <w:noProof/>
          <w:sz w:val="20"/>
        </w:rPr>
        <w:t>.</w:t>
      </w:r>
      <w:r w:rsidRPr="00857048">
        <w:rPr>
          <w:rFonts w:cs="Arial"/>
          <w:sz w:val="20"/>
        </w:rPr>
        <w:t xml:space="preserve"> In contrast, respondents in class 1, the largest group in our sample, did not have such strong oppositions against additional housing, and were consequently more willing to accept environmental compensation. This finding has important implications for planning environmental compensation measures in locations where people would be most affected by additional residential development. </w:t>
      </w:r>
    </w:p>
    <w:p w:rsidR="003F789A" w:rsidRPr="00934054" w:rsidRDefault="003F789A" w:rsidP="006D566F">
      <w:pPr>
        <w:pStyle w:val="ListParagraph"/>
        <w:ind w:left="0"/>
        <w:jc w:val="both"/>
        <w:rPr>
          <w:rFonts w:ascii="Arial" w:hAnsi="Arial" w:cs="Arial"/>
          <w:b/>
          <w:sz w:val="20"/>
          <w:szCs w:val="20"/>
        </w:rPr>
      </w:pPr>
      <w:r w:rsidRPr="00934054">
        <w:rPr>
          <w:rFonts w:ascii="Arial" w:hAnsi="Arial" w:cs="Arial"/>
          <w:b/>
          <w:sz w:val="20"/>
          <w:szCs w:val="20"/>
        </w:rPr>
        <w:t>Methodological considerations</w:t>
      </w:r>
    </w:p>
    <w:p w:rsidR="003F789A" w:rsidRPr="00857048" w:rsidRDefault="003F789A" w:rsidP="00934054">
      <w:pPr>
        <w:spacing w:after="100" w:afterAutospacing="1" w:line="360" w:lineRule="auto"/>
        <w:rPr>
          <w:rFonts w:cs="Arial"/>
          <w:sz w:val="20"/>
        </w:rPr>
      </w:pPr>
      <w:r w:rsidRPr="00857048">
        <w:rPr>
          <w:rFonts w:cs="Arial"/>
          <w:sz w:val="20"/>
        </w:rPr>
        <w:t xml:space="preserve">Choice experiments are increasingly being used in a landscape valuation context, as they provide a useful method to assess societal preference towards changes in landscape characteristics. At the same time, however, choice experiments offer a reductionist approach towards landscape valuation by breaking down landscapes into different components, whereas people may rather perceive landscapes as a ‘whole’ and not merely as a sum of its parts </w:t>
      </w:r>
      <w:r w:rsidRPr="00857048">
        <w:rPr>
          <w:rFonts w:cs="Arial"/>
          <w:sz w:val="20"/>
        </w:rPr>
        <w:fldChar w:fldCharType="begin" w:fldLock="1"/>
      </w:r>
      <w:r w:rsidRPr="00857048">
        <w:rPr>
          <w:rFonts w:cs="Arial"/>
          <w:sz w:val="20"/>
        </w:rPr>
        <w:instrText>ADDIN CSL_CITATION { "citationItems" : [ { "id" : "ITEM-1", "itemData" : { "author" : [ { "dropping-particle" : "", "family" : "Swanwick", "given" : "Carys", "non-dropping-particle" : "", "parse-names" : false, "suffix" : "" }, { "dropping-particle" : "", "family" : "Hanley", "given" : "Nick", "non-dropping-particle" : "", "parse-names" : false, "suffix" : "" }, { "dropping-particle" : "", "family" : "Termansen", "given" : "Mette", "non-dropping-particle" : "", "parse-names" : false, "suffix" : "" } ], "id" : "ITEM-1", "issued" : { "date-parts" : [ [ "2007" ] ] }, "title" : "Scoping Study on Agricultural Landscape Valuation", "type" : "report" }, "uris" : [ "http://www.mendeley.com/documents/?uuid=26ae3ff0-5514-4747-9d61-ab7bdf691910" ] } ], "mendeley" : { "formattedCitation" : "(Swanwick et al., 2007)", "plainTextFormattedCitation" : "(Swanwick et al., 2007)", "previouslyFormattedCitation" : "(Swanwick et al., 2007)" }, "properties" : { "noteIndex" : 0 }, "schema" : "https://github.com/citation-style-language/schema/raw/master/csl-citation.json" }</w:instrText>
      </w:r>
      <w:r w:rsidRPr="00857048">
        <w:rPr>
          <w:rFonts w:cs="Arial"/>
          <w:sz w:val="20"/>
        </w:rPr>
        <w:fldChar w:fldCharType="separate"/>
      </w:r>
      <w:r w:rsidRPr="00857048">
        <w:rPr>
          <w:rFonts w:cs="Arial"/>
          <w:noProof/>
          <w:sz w:val="20"/>
        </w:rPr>
        <w:t>(Swanwick et al., 2007)</w:t>
      </w:r>
      <w:r w:rsidRPr="00857048">
        <w:rPr>
          <w:rFonts w:cs="Arial"/>
          <w:sz w:val="20"/>
        </w:rPr>
        <w:fldChar w:fldCharType="end"/>
      </w:r>
      <w:r w:rsidRPr="00857048">
        <w:rPr>
          <w:rFonts w:cs="Arial"/>
          <w:sz w:val="20"/>
        </w:rPr>
        <w:t>. Choice experiments are not appropriate to the holistic study the importance of landscapes, and their related goods and services, as the summation of values for single landscape attributes does not necessarily give an accurate reflection of the value of landscape. Our study should thus not be seen as an attempt to provide an overall valuation of the landscape, but rather to measure preferences for specific changes in certain characteristics of the landscape.</w:t>
      </w:r>
    </w:p>
    <w:p w:rsidR="003F789A" w:rsidRPr="00857048" w:rsidRDefault="003F789A" w:rsidP="00934054">
      <w:pPr>
        <w:spacing w:after="100" w:afterAutospacing="1" w:line="360" w:lineRule="auto"/>
        <w:rPr>
          <w:rFonts w:cs="Arial"/>
          <w:sz w:val="20"/>
        </w:rPr>
      </w:pPr>
      <w:r w:rsidRPr="00857048">
        <w:rPr>
          <w:rFonts w:cs="Arial"/>
          <w:sz w:val="20"/>
        </w:rPr>
        <w:t xml:space="preserve">While conventionally choice experiments are used with a monetary attribute to estimate WTP for specific measures, we have chosen an experimental setup in which the </w:t>
      </w:r>
      <w:proofErr w:type="spellStart"/>
      <w:r w:rsidRPr="00857048">
        <w:rPr>
          <w:rFonts w:cs="Arial"/>
          <w:sz w:val="20"/>
        </w:rPr>
        <w:t>tradeoff</w:t>
      </w:r>
      <w:proofErr w:type="spellEnd"/>
      <w:r w:rsidRPr="00857048">
        <w:rPr>
          <w:rFonts w:cs="Arial"/>
          <w:sz w:val="20"/>
        </w:rPr>
        <w:t xml:space="preserve"> was not represented by the level of additional housing instead. Even though the use of a monetary value estimate can be useful to assess impacts of environmental change on social welfare, it is not always necessary to better understand environmental preferences or choice </w:t>
      </w:r>
      <w:proofErr w:type="spellStart"/>
      <w:r w:rsidRPr="00857048">
        <w:rPr>
          <w:rFonts w:cs="Arial"/>
          <w:sz w:val="20"/>
        </w:rPr>
        <w:t>behavior</w:t>
      </w:r>
      <w:proofErr w:type="spellEnd"/>
      <w:r w:rsidRPr="00857048">
        <w:rPr>
          <w:rFonts w:cs="Arial"/>
          <w:sz w:val="20"/>
        </w:rPr>
        <w:t xml:space="preserve"> (</w:t>
      </w:r>
      <w:proofErr w:type="spellStart"/>
      <w:r w:rsidRPr="00857048">
        <w:rPr>
          <w:rFonts w:cs="Arial"/>
          <w:sz w:val="20"/>
        </w:rPr>
        <w:t>Adamowicz</w:t>
      </w:r>
      <w:proofErr w:type="spellEnd"/>
      <w:r w:rsidRPr="00857048">
        <w:rPr>
          <w:rFonts w:cs="Arial"/>
          <w:sz w:val="20"/>
        </w:rPr>
        <w:t xml:space="preserve"> 2004). As expressed by </w:t>
      </w:r>
      <w:r w:rsidRPr="00857048">
        <w:rPr>
          <w:rFonts w:cs="Arial"/>
          <w:sz w:val="20"/>
        </w:rPr>
        <w:fldChar w:fldCharType="begin" w:fldLock="1"/>
      </w:r>
      <w:r w:rsidRPr="00857048">
        <w:rPr>
          <w:rFonts w:cs="Arial"/>
          <w:sz w:val="20"/>
        </w:rPr>
        <w:instrText>ADDIN CSL_CITATION { "citationItems" : [ { "id" : "ITEM-1", "itemData" : { "DOI" : "10.1111/j.1467-8489.2008.00432.x", "ISSN" : "1364985X", "author" : [ { "dropping-particle" : "", "family" : "Kerr", "given" : "Geoffrey N.", "non-dropping-particle" : "", "parse-names" : false, "suffix" : "" }, { "dropping-particle" : "", "family" : "Sharp", "given" : "Basil M.H.", "non-dropping-particle" : "", "parse-names" : false, "suffix" : "" } ], "container-title" : "Australian Journal of Agricultural and Resource Economics", "id" : "ITEM-1", "issue" : "4", "issued" : { "date-parts" : [ [ "2008", "12" ] ] }, "page" : "381-399", "title" : "Evaluating off-site environmental mitigation using choice modelling*", "type" : "article-journal", "volume" : "52" }, "uris" : [ "http://www.mendeley.com/documents/?uuid=e06adeee-84c4-441d-8e98-c5412644eb8f" ] } ], "mendeley" : { "formattedCitation" : "(Kerr and Sharp, 2008)", "manualFormatting" : "Kerr &amp; Sharp (2008)", "plainTextFormattedCitation" : "(Kerr and Sharp, 2008)", "previouslyFormattedCitation" : "(Kerr and Sharp, 2008)" }, "properties" : { "noteIndex" : 0 }, "schema" : "https://github.com/citation-style-language/schema/raw/master/csl-citation.json" }</w:instrText>
      </w:r>
      <w:r w:rsidRPr="00857048">
        <w:rPr>
          <w:rFonts w:cs="Arial"/>
          <w:sz w:val="20"/>
        </w:rPr>
        <w:fldChar w:fldCharType="separate"/>
      </w:r>
      <w:r w:rsidRPr="00857048">
        <w:rPr>
          <w:rFonts w:cs="Arial"/>
          <w:noProof/>
          <w:sz w:val="20"/>
        </w:rPr>
        <w:t>Kerr &amp; Sharp (2008)</w:t>
      </w:r>
      <w:r w:rsidRPr="00857048">
        <w:rPr>
          <w:rFonts w:cs="Arial"/>
          <w:sz w:val="20"/>
        </w:rPr>
        <w:fldChar w:fldCharType="end"/>
      </w:r>
      <w:r w:rsidRPr="00857048">
        <w:rPr>
          <w:rFonts w:cs="Arial"/>
          <w:sz w:val="20"/>
        </w:rPr>
        <w:t xml:space="preserve"> the ‘adequacy of mitigation may be explored using choice experiments, whether or not they include monetary attributes’. The omission of a monetary attribute can help researchers overcome problems related to communicating a suitable payment vehicle for non-marketed environmental goods and services and</w:t>
      </w:r>
      <w:r>
        <w:rPr>
          <w:rFonts w:cs="Arial"/>
          <w:sz w:val="20"/>
        </w:rPr>
        <w:t xml:space="preserve"> </w:t>
      </w:r>
      <w:r w:rsidRPr="00857048">
        <w:rPr>
          <w:rFonts w:cs="Arial"/>
          <w:sz w:val="20"/>
        </w:rPr>
        <w:t xml:space="preserve">may improve respondents’ performance in the choice tasks. </w:t>
      </w:r>
    </w:p>
    <w:p w:rsidR="003F789A" w:rsidRPr="00857048" w:rsidRDefault="003F789A" w:rsidP="00934054">
      <w:pPr>
        <w:spacing w:after="100" w:afterAutospacing="1" w:line="360" w:lineRule="auto"/>
        <w:rPr>
          <w:rFonts w:cs="Arial"/>
          <w:sz w:val="20"/>
        </w:rPr>
      </w:pPr>
      <w:r w:rsidRPr="00857048">
        <w:rPr>
          <w:rFonts w:cs="Arial"/>
          <w:sz w:val="20"/>
        </w:rPr>
        <w:t xml:space="preserve">Although we do take into account the heterogeneity in preferences among respondents, our results draw a relatively one-sided picture of environmental compensation in a rural residential context. In our study, we only focused on the general public within the residential areas, while farmers would have to play a large role in the implementation of environmental compensation efforts. Most land in East Lothian is privately owned, and so the introduction of woodland restoration schemes would also entail financial compensation to those who would lose agricultural land and related crop yields. This poses </w:t>
      </w:r>
      <w:r w:rsidRPr="00857048">
        <w:rPr>
          <w:rFonts w:cs="Arial"/>
          <w:sz w:val="20"/>
        </w:rPr>
        <w:lastRenderedPageBreak/>
        <w:t>an additional trade-off which we have not treated extensively in our study. An objective for future research would be to investigate where and when agricultural land can be sacrificed for environmental compensation, according to public preferences.</w:t>
      </w:r>
    </w:p>
    <w:p w:rsidR="003F789A" w:rsidRPr="00857048" w:rsidRDefault="003F789A" w:rsidP="0032165B">
      <w:pPr>
        <w:pStyle w:val="Heading3"/>
        <w:numPr>
          <w:ilvl w:val="2"/>
          <w:numId w:val="35"/>
        </w:numPr>
        <w:ind w:left="851" w:hanging="851"/>
      </w:pPr>
      <w:bookmarkStart w:id="77" w:name="_Toc436757149"/>
      <w:bookmarkStart w:id="78" w:name="_Toc436758088"/>
      <w:r>
        <w:t xml:space="preserve"> </w:t>
      </w:r>
      <w:bookmarkStart w:id="79" w:name="_Toc436915612"/>
      <w:bookmarkStart w:id="80" w:name="_Toc436916053"/>
      <w:r w:rsidRPr="00857048">
        <w:t>Conclusion</w:t>
      </w:r>
      <w:bookmarkEnd w:id="77"/>
      <w:bookmarkEnd w:id="78"/>
      <w:bookmarkEnd w:id="79"/>
      <w:bookmarkEnd w:id="80"/>
    </w:p>
    <w:p w:rsidR="003F789A" w:rsidRPr="00857048" w:rsidRDefault="003F789A" w:rsidP="00934054">
      <w:pPr>
        <w:spacing w:after="100" w:afterAutospacing="1" w:line="360" w:lineRule="auto"/>
        <w:rPr>
          <w:rFonts w:cs="Arial"/>
          <w:sz w:val="20"/>
        </w:rPr>
      </w:pPr>
      <w:r w:rsidRPr="00857048">
        <w:rPr>
          <w:rFonts w:cs="Arial"/>
          <w:sz w:val="20"/>
        </w:rPr>
        <w:t>The results of our study in Scotland indicate that offsetting does not necessarily alleviate objections against land take: residents who oppose additional housing the most are the least willing to accept environmental compensation. Where resistance to change is high, any form of landscape change, including both development and environmental restoration, may be perceived as a threat. This indicates the importance of adhering to the mitigation hierarchy (BBOP, 2012), i.e. emphasizing the avoidance of impacts, before considering minimizing and compensating impacts.</w:t>
      </w:r>
    </w:p>
    <w:p w:rsidR="003F789A" w:rsidRPr="00857048" w:rsidRDefault="003F789A" w:rsidP="00934054">
      <w:pPr>
        <w:spacing w:after="100" w:afterAutospacing="1" w:line="360" w:lineRule="auto"/>
        <w:rPr>
          <w:rFonts w:cs="Arial"/>
          <w:sz w:val="20"/>
        </w:rPr>
      </w:pPr>
      <w:r w:rsidRPr="00857048">
        <w:rPr>
          <w:rFonts w:cs="Arial"/>
          <w:sz w:val="20"/>
        </w:rPr>
        <w:t xml:space="preserve">Thus far, in Scotland, environmental compensation has received little attention in the planning of residential development. In addition, the development of green infrastructures are now mostly planned within newly built neighbourhoods to accommodate newcomers with additional goods and services, without compensating existing residents for lost amenities and </w:t>
      </w:r>
      <w:r>
        <w:rPr>
          <w:rFonts w:cs="Arial"/>
          <w:sz w:val="20"/>
        </w:rPr>
        <w:t>ES</w:t>
      </w:r>
      <w:r w:rsidRPr="00857048">
        <w:rPr>
          <w:rFonts w:cs="Arial"/>
          <w:sz w:val="20"/>
        </w:rPr>
        <w:t xml:space="preserve">s in the agricultural landscape. Our study highlights the importance of an integrated planning approach at a landscape scale that integrates both environmental and social goals. </w:t>
      </w:r>
    </w:p>
    <w:p w:rsidR="003F789A" w:rsidRPr="00934054" w:rsidRDefault="003F789A" w:rsidP="00857048">
      <w:pPr>
        <w:spacing w:after="100" w:afterAutospacing="1" w:line="360" w:lineRule="auto"/>
        <w:rPr>
          <w:rFonts w:cs="Arial"/>
          <w:b/>
          <w:color w:val="339966"/>
          <w:szCs w:val="22"/>
        </w:rPr>
      </w:pPr>
      <w:r w:rsidRPr="00934054">
        <w:rPr>
          <w:rFonts w:cs="Arial"/>
          <w:b/>
          <w:color w:val="339966"/>
          <w:szCs w:val="22"/>
        </w:rPr>
        <w:t>Acknowledgements</w:t>
      </w:r>
    </w:p>
    <w:p w:rsidR="003F789A" w:rsidRPr="00857048" w:rsidRDefault="003F789A" w:rsidP="00857048">
      <w:pPr>
        <w:spacing w:after="100" w:afterAutospacing="1" w:line="360" w:lineRule="auto"/>
        <w:rPr>
          <w:rFonts w:cs="Arial"/>
          <w:sz w:val="20"/>
        </w:rPr>
      </w:pPr>
      <w:r w:rsidRPr="00857048">
        <w:rPr>
          <w:rFonts w:cs="Arial"/>
          <w:sz w:val="20"/>
        </w:rPr>
        <w:t xml:space="preserve">We would like to thank Stuart MacPherson from the East Lothian Council for his assistance in setting up the pilot and field study. In addition we would like to thank Koen </w:t>
      </w:r>
      <w:proofErr w:type="spellStart"/>
      <w:r w:rsidRPr="00857048">
        <w:rPr>
          <w:rFonts w:cs="Arial"/>
          <w:sz w:val="20"/>
        </w:rPr>
        <w:t>Tieskens</w:t>
      </w:r>
      <w:proofErr w:type="spellEnd"/>
      <w:r w:rsidRPr="00857048">
        <w:rPr>
          <w:rFonts w:cs="Arial"/>
          <w:sz w:val="20"/>
        </w:rPr>
        <w:t xml:space="preserve"> for his assistance. </w:t>
      </w:r>
    </w:p>
    <w:p w:rsidR="003F789A" w:rsidRDefault="003F789A" w:rsidP="00857048">
      <w:pPr>
        <w:spacing w:after="0" w:line="240" w:lineRule="auto"/>
        <w:rPr>
          <w:rFonts w:ascii="Arial Bold" w:hAnsi="Arial Bold" w:cs="Arial"/>
          <w:color w:val="339966"/>
          <w:szCs w:val="22"/>
        </w:rPr>
      </w:pPr>
      <w:r w:rsidRPr="00934054">
        <w:rPr>
          <w:rFonts w:ascii="Arial Bold" w:hAnsi="Arial Bold" w:cs="Arial"/>
          <w:color w:val="339966"/>
          <w:szCs w:val="22"/>
        </w:rPr>
        <w:t>References</w:t>
      </w:r>
    </w:p>
    <w:p w:rsidR="003F789A" w:rsidRPr="00934054" w:rsidRDefault="003F789A" w:rsidP="00857048">
      <w:pPr>
        <w:spacing w:after="0" w:line="240" w:lineRule="auto"/>
        <w:rPr>
          <w:rFonts w:ascii="Arial Bold" w:hAnsi="Arial Bold" w:cs="Arial"/>
          <w:color w:val="339966"/>
          <w:szCs w:val="22"/>
        </w:rPr>
      </w:pP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FB47ED">
        <w:rPr>
          <w:rFonts w:cs="Arial"/>
          <w:sz w:val="20"/>
        </w:rPr>
        <w:fldChar w:fldCharType="begin" w:fldLock="1"/>
      </w:r>
      <w:r w:rsidRPr="00FB47ED">
        <w:rPr>
          <w:rFonts w:cs="Arial"/>
          <w:sz w:val="20"/>
        </w:rPr>
        <w:instrText xml:space="preserve">ADDIN Mendeley Bibliography CSL_BIBLIOGRAPHY </w:instrText>
      </w:r>
      <w:r w:rsidRPr="00FB47ED">
        <w:rPr>
          <w:rFonts w:cs="Arial"/>
          <w:sz w:val="20"/>
        </w:rPr>
        <w:fldChar w:fldCharType="separate"/>
      </w:r>
      <w:r w:rsidRPr="00BE1870">
        <w:rPr>
          <w:rFonts w:cs="Arial"/>
          <w:noProof/>
          <w:sz w:val="20"/>
          <w:szCs w:val="24"/>
        </w:rPr>
        <w:t>Adamowicz, W.L., 2004. What’s it worth? An examination of historical trends and future directions in environmental valuation*. Aust. J. Agric. Resour. Econ. 48, 419–443. doi:10.1111/j.1467-8489.2004.00258.x</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Antrop, M., 2004. Landscape change and the urbanization process in Europe. Landsc. Urban Plan. 67, 9–26. doi:10.1016/S0169-2046(03)00026-4</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Aravena, C., Martinsson, P., Scarpa, R., 2014. Does money talk? — The effect of a monetary attribute on the marginal values in a choice experiment. Energy Econ. 44, 483–491. doi:10.1016/j.eneco.2014.02.017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Bakhtiari, F., Jacobsen, J.B., Strange, N., Helles, F., 2014. Revealing lay people’s perceptions of forest biodiversity value components and their application in valuation method. Glob. Ecol. Conserv. 1, 27–42. doi:10.1016/j.gecco.2014.07.003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Bart, I.L., 2010. Urban sprawl and climate change: A statistical exploration of cause and effect, with policy options for the EU. Land use policy 27, 283–292. doi:10.1016/j.landusepol.2009.03.003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Bauer, D.M., Cyr, Ni.E., Swallow, S.K., 2004. Public Preferences for Compensatory Mitigation of Salt Marsh Losses: a Contingent Choice of Alternatives. Conserv. Biol. 18, 401–411. doi:10.1111/j.1523-1739.2004.00367.x</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lastRenderedPageBreak/>
        <w:t>Bengston, D.N., Fletcher, J.O., Nelson, K.C., 2004. Public policies for managing urban growth and protecting open space: policy instruments and lessons learned in the United States. Landsc. Urban Plan. 69, 271–286. doi:10.1016/j.landurbplan.2003.08.007</w:t>
      </w:r>
    </w:p>
    <w:p w:rsidR="003F789A" w:rsidRPr="00B3364F" w:rsidRDefault="003F789A" w:rsidP="00934054">
      <w:pPr>
        <w:widowControl w:val="0"/>
        <w:autoSpaceDE w:val="0"/>
        <w:autoSpaceDN w:val="0"/>
        <w:adjustRightInd w:val="0"/>
        <w:spacing w:after="140" w:line="240" w:lineRule="auto"/>
        <w:ind w:left="480" w:hanging="480"/>
        <w:jc w:val="left"/>
        <w:rPr>
          <w:rFonts w:cs="Arial"/>
          <w:noProof/>
          <w:sz w:val="20"/>
          <w:szCs w:val="24"/>
          <w:lang w:val="nl-NL"/>
        </w:rPr>
      </w:pPr>
      <w:r w:rsidRPr="00BE1870">
        <w:rPr>
          <w:rFonts w:cs="Arial"/>
          <w:noProof/>
          <w:sz w:val="20"/>
          <w:szCs w:val="24"/>
        </w:rPr>
        <w:t xml:space="preserve">Benton, T.G., Vickery, J.A., Wilson, J.D., 2003. Farmland biodiversity: is habitat heterogeneity the key? </w:t>
      </w:r>
      <w:r w:rsidRPr="00B3364F">
        <w:rPr>
          <w:rFonts w:cs="Arial"/>
          <w:noProof/>
          <w:sz w:val="20"/>
          <w:szCs w:val="24"/>
          <w:lang w:val="nl-NL"/>
        </w:rPr>
        <w:t>Trends Ecol. Evol. 18, 182–188. doi:10.1016/S0169-5347(03)00011-9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3364F">
        <w:rPr>
          <w:rFonts w:cs="Arial"/>
          <w:noProof/>
          <w:sz w:val="20"/>
          <w:szCs w:val="24"/>
          <w:lang w:val="nl-NL"/>
        </w:rPr>
        <w:t xml:space="preserve">Born, R.J.G. Van Den, Lenders, R.H.J., Groot, W.T. de, Huijsman, E., 2001. </w:t>
      </w:r>
      <w:r w:rsidRPr="00BE1870">
        <w:rPr>
          <w:rFonts w:cs="Arial"/>
          <w:noProof/>
          <w:sz w:val="20"/>
          <w:szCs w:val="24"/>
        </w:rPr>
        <w:t>The new biophilia: an exploration of visions of nature in Western countries. Environ. Conserv. 28, 65–75. doi:10.1017/S0376892901000066</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Boxall, P.C., Adamowicz, W.L., n.d. Understanding Heterogeneous Preferences in Random Utility Models: A Latent Class Approach. Environ. Resour. Econ. 23, 421–446. doi:10.1023/A:1021351721619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Braaker, S., Moretti, M., Boesch, R., Ghazoul, J., Obrist, M.K., Bontadina, F., 2014. Assessing habitat connectivity for ground-dwelling animals in an urban environment. Ecol. Appl. 24, 1583–1595. doi:10.1890/13-1088.1</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Brownlie, S., King, N., Treweek, J., 2013. Biodiversity tradeoffs and offsets in impact assessment and decision making: can we stop the loss? Impact Assess. Proj. Apprais. 31, 24–33. doi:10.1080/14615517.2012.736763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Burney, J., 2000. Is Valuing Nature Contributing to Policy Development? Environ. Values 9, 511–520. doi:10.3197/096327100129342182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Camagni, R., Gibelli, M.C., Rigamonti, P., 2002. Urban mobility and urban form: the social and environmental costs of different patterns of urban expansion. Ecol. Econ. 40, 199–216. doi:10.1016/S0921-8009(01)00254-3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Cleland, J.A., Rogers, A.A., Burton, M.P., 2015. Investigating stakeholder reactions to a bold salinity policy using a choice experiment. Land use policy 42, 718–728. doi:10.1016/j.landusepol.2014.10.010</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Davidson, M.D., 2013. On the relation between ecosystem services, intrinsic value, existence value and economic valuation. Ecol. Econ. 95, 171–177. doi:http://dx.doi.org/10.1016/j.ecolecon.2013.09.002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de Ayala, A., Hoyos, D., Mariel, P., 2015. Suitability of discrete choice experiments for landscape management under the European Landscape Convention. J. For. Econ. 21, 79–96. doi:10.1016/j.jfe.2015.01.002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Domínguez-Torreiro, M., Soliño, M., 2011. Provided and perceived status quo in choice experiments: Implications for valuing the outputs of multifunctional rural areas. Ecol. Econ. 70, 2523–2531. doi:10.1016/j.ecolecon.2011.08.021</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East Lothian Fourth Statistical Account Society, 2003. East Lothian Fourth Statistical Account 1945-2000. East Lothian Council Library Service, East Lothian.</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Edinburgh &amp; Lothians Forest Habitat Network Partnership, 2010. Foresty Framework for Edinburgh and the Lothians. Edinburgh.</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Edinburgh and the Lothia</w:t>
      </w:r>
      <w:r>
        <w:rPr>
          <w:rFonts w:cs="Arial"/>
          <w:noProof/>
          <w:sz w:val="20"/>
          <w:szCs w:val="24"/>
        </w:rPr>
        <w:t xml:space="preserve">ns Structure Plan 2015, 2004. </w:t>
      </w:r>
      <w:r w:rsidRPr="00BE1870">
        <w:rPr>
          <w:rFonts w:cs="Arial"/>
          <w:noProof/>
          <w:sz w:val="20"/>
          <w:szCs w:val="24"/>
        </w:rPr>
        <w:t>Edinburgh and the Lothians.</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Feranec, J., Jaffrain, G., Soukup, T., Hazeu, G., 2010. Determining changes and flows in European landscapes 1990–2000 using CORINE land cover data. Appl. Geogr. 30, 19–35. doi:10.1016/j.apgeog.2009.07.003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Fischer, J., Lindenmayer, D.B., Manning, A.D., 2006. Biodiversity, ecosystem function, and resilience: Ten guiding principles for commodity production landscapes. Front. Ecol. Environ. 4, 80–86. doi:10.1890/1540-9295(2006)004[0080:BEFART]2.0.CO;2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Fry, G., Tveit, M.S., Ode, Å., Velarde, M.D., 2009. The ecology of visual landscapes: Exploring the conceptual common ground of visual and ecological landscape indicators. Ecol. Indic. 9, 933–</w:t>
      </w:r>
      <w:r w:rsidRPr="00BE1870">
        <w:rPr>
          <w:rFonts w:cs="Arial"/>
          <w:noProof/>
          <w:sz w:val="20"/>
          <w:szCs w:val="24"/>
        </w:rPr>
        <w:lastRenderedPageBreak/>
        <w:t>947. doi:10.1016/j.ecolind.2008.11.008</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García-Llorente, M., Martín-López, B., Montes, C., 2011. Exploring the motivations of protesters in contingent valuation: Insights for conservation policies. Environ. Sci. Policy 14, 76–88. doi:http://dx.doi.org/10.1016/j.envsci.2010.11.004</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Ghaffar, A., Robinson, G.M., 1997. Restoring the agricultural landscape: the impact of government policies in East Lothian, Scotland. Geoforum 28, 205–217. doi:10.1016/S0016-7185(97)00006-7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Grammatikopoulou, I., Pouta, E., Salmiovirta, M., Soini, K., 2012. Heterogeneous preferences for agricultural landscape improvements in southern Finland. Landsc. Urban Plan. 107, 181–191. doi:10.1016/j.landurbplan.2012.06.001</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Haines-Young, R., Potschin, M., 2008. England’s Terrestrial Ecosystem Services and the Rationale for an Ecosystem Approach.</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Hall, C., McVittie, A., Moran, D., 2004. What does the public want from agriculture and the countryside? A review of evidence and methods. J. Rural Stud. 20, 211–225. doi:10.1016/j.jrurstud.2003.08.004</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Hasund, K.P., Kataria, M., Lagerkvist, C.J., 2011. Valuing public goods of the agricultural landscape: a choice experiment using reference points to capture observable heterogeneity. J. Environ. Plan. Manag. 54, 31–53. doi:10.1080/09640568.2010.502753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Kasanko, M., Barredo, J.I., Lavalle, C., McCormick, N., Demicheli, L., Sagris, V., Brezger, A., 2006. Are European cities becoming dispersed? Landsc. Urban Plan. 77, 111–130. doi:10.1016/j.landurbplan.2005.02.003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Kerr, G.N., Sharp, B.M.H., 2008. Evaluating off-site environmental mitigation using choice modelling*. Aust. J. Agric. Resour. Econ. 52, 381–399. doi:10.1111/j.1467-8489.2008.00432.x</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Lancaster, K.J., 1966. A New Approach to Consumer Theory. J. Polit. Econ. 74.</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Liu, Z., He, C., Zhou, Y., Wu, J., 2014. How much of the world’s land has been urbanized, really? A hierarchical framework for avoiding confusion. Landsc. Ecol. 29, 763–771. doi:10.1007/s10980-014-0034-y</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Lokocz, E., Ryan, R.L., Sadler, A.J., 2011. Motivations for land protection and stewardship: Exploring place attachment and rural landscape character in Massachusetts. Landsc. Urban Plan. 99, 65–76. doi:10.1016/j.landurbplan.2010.08.015</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Lothians and Fife Green Network Partnership, 2012. Edinburgh and Lothians Forestry &amp; Woodland Strategy 2012-2017.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Maron, M., Gordon, A., Mackey, B.G., Possingham, H.P., Watson, J.E.M., 2015. Conservation: Stop misuse of biodiversity offsets. Nature 523, 401–403. doi:10.1038/523401a</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McCollin, D., 2000. Editorial: Hedgerow policy and protection—changing paradigms and the conservation ethic. J. Environ. Manage. 60, 3–6. doi:10.1006/jema.2000.0357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McFadden, D., 1974. Conditional logit analysis of qualitative choice behavior, in: Zarembka, P. (Ed.), Frontiers in Econometrics. Academic Press, New York, pp. 105–142.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McKenney, B.A., Kiesecker, J.M., 2010. Policy development for biodiversity offsets: a review of offset frameworks. Environ. Manage. 45, 165–76. doi:10.1007/s00267-009-9396-3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Moilanen, A., van Teeffelen, A.J.A., Ben-Haim, Y., Ferrier, S., 2009. How Much Compensation is Enough? A Framework for Incorporating Uncertainty and Time Discounting When Calculating Offset Ratios for Impacted Habitat. Restor. Ecol. 17, 470–478. doi:10.1111/j.1526-100X.2008.00382.x</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Munton, R., 2009. Rural land ownership in the United Kingdom: Changing patterns and future possibilities for land use. Land use policy 26, Supple, S54–S61. doi:http://dx.doi.org/10.1016/j.landusepol.2009.08.012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lastRenderedPageBreak/>
        <w:t>Newell, L.W., Swallow, S.K., 2013. Real-payment choice experiments: Valuing forested wetlands and spatial attributes within a landscape context. Ecol. Econ. 92, 37–47. doi:http://dx.doi.org/10.1016/j.ecolecon.2012.08.008</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Nijnik, M., Mather, A., 2008. Analyzing public preferences concerning woodland development in rural landscapes in Scotland. Landsc. Urban Plan. 86, 267–275. doi:10.1016/j.landurbplan.2008.03.007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Oreszczyn, S., Lane, A., 2000. The meaning of hedgerows in the English landscape: Different stakeholder perspectives and the implications for future hedge management. J. Environ. Manage. 60, 101–118. doi:10.1006/jema.2000.0365</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Pacione, M., 2013. Private profit, public interest and land use planning—A conflict interpretation of residential development pressure in Glasgow’s rural–urban fringe. Land use policy 32, 61–77. doi:10.1016/j.landusepol.2012.09.013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Pauleit, S., Ennos, R., Golding, Y., 2005. Modeling the environmental impacts of urban land use and land cover change—a study in Merseyside, UK. Landsc. Urban Plan. 71, 295–310. doi:10.1016/j.landurbplan.2004.03.009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Persson, J., Larsson, A., Villarroya, A., 2015. Compensation in Swedish infrastructure projects and suggestions on policy improvements. Nat. Conserv. 11, 113–127. doi:10.3897/natureconservation.11.4367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Primdahl, J., Andersen, E., Swaffield, S., Kristensen, L., 2013. Intersecting Dynamics of Agricultural Structural Change and Urbanisation within European Rural Landscapes: Change Patterns and Policy Implications. Landsc. Res. 38, 799–817. doi:10.1080/01426397.2013.772959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Rambonilaza, M., Dachary-Bernard, J., 2007. Land-use planning and public preferences: What can we learn from choice experiment method? Landsc. Urban Plan. 83, 318–326. doi:10.1016/j.landurbplan.2007.05.013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Reginster, I., Rounsevell, M., 2006. Scenarios of future urban land use in Europe. Environ. Plan. B Plan. Des. 33, 619–636. doi:10.1068/b31079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Rey Benayas, J.M., Bullock, J.M., 2012. Restoration of Biodiversity and Ecosystem Services on Agricultural Land. Ecosystems 15, 883–899. doi:10.1007/s10021-012-9552-0</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Salvati, L., Carlucci, M., 2015. Land-use structure, urban growth, and periurban landscape: a multivariate classification of the European cities. Environ. Plan. B Plan. Des. doi:10.1068/b120029p</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Seto, K.C., Fragkias, M., Güneralp, B., Reilly, M.K., 2011. A meta-analysis of global urban land expansion. PLoS One 6, e23777. doi:10.1371/journal.pone.0023777</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Soini, K., Vaarala, H., Pouta, E., 2012. Residents’ sense of place and landscape perceptions at the rural–urban interface. Landsc. Urban Plan. 104, 124–134. doi:http://dx.doi.org/10.1016/j.landurbplan.2011.10.002</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Song, W., Pijanowski, B.C., Tayyebi, A., 2015. Urban expansion and its consumption of high-quality farmland in Beijing, China. Ecol. Indic. 54, 60–70. doi:10.1016/j.ecolind.2015.02.015</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Standard on Biodiversity Offsets, 2012. . Washington DC.</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Svedsater, H., 2003. Economic Valuation of the Environment: How Citizens Make Sense of Contingent Valuation Questions. Land Econ. 79, 122. doi:10.2307/3147109</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Swanwick, C., Hanley, N., Termansen, M., 2007. Scoping Study on Agricultural Landscape Valuation.</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Tallis, H., Kennedy, C.M., Ruckelshaus, M., Goldstein, J., Kiesecker, J.M., 2015. Mitigation for one &amp; all: An integrated framework for mitigation of development impacts on biodiversity and ecosystem services. Environ. Impact Assess. Rev. 55, 21–34. doi:10.1016/j.eiar.2015.06.005</w:t>
      </w:r>
    </w:p>
    <w:p w:rsidR="003F789A" w:rsidRPr="00B3364F" w:rsidRDefault="003F789A" w:rsidP="00934054">
      <w:pPr>
        <w:widowControl w:val="0"/>
        <w:autoSpaceDE w:val="0"/>
        <w:autoSpaceDN w:val="0"/>
        <w:adjustRightInd w:val="0"/>
        <w:spacing w:after="140" w:line="240" w:lineRule="auto"/>
        <w:ind w:left="480" w:hanging="480"/>
        <w:jc w:val="left"/>
        <w:rPr>
          <w:rFonts w:cs="Arial"/>
          <w:noProof/>
          <w:sz w:val="20"/>
          <w:szCs w:val="24"/>
          <w:lang w:val="nl-NL"/>
        </w:rPr>
      </w:pPr>
      <w:r w:rsidRPr="00BE1870">
        <w:rPr>
          <w:rFonts w:cs="Arial"/>
          <w:noProof/>
          <w:sz w:val="20"/>
          <w:szCs w:val="24"/>
        </w:rPr>
        <w:t xml:space="preserve">Tress, B., Tress, G., 2003. Scenario visualisation for participatory landscape planning—a study from Denmark. </w:t>
      </w:r>
      <w:r w:rsidRPr="00B3364F">
        <w:rPr>
          <w:rFonts w:cs="Arial"/>
          <w:noProof/>
          <w:sz w:val="20"/>
          <w:szCs w:val="24"/>
          <w:lang w:val="nl-NL"/>
        </w:rPr>
        <w:t>Landsc. Urban Plan. 64, 161–178. doi:10.1016/S0169-2046(02)00219-0</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3364F">
        <w:rPr>
          <w:rFonts w:cs="Arial"/>
          <w:noProof/>
          <w:sz w:val="20"/>
          <w:szCs w:val="24"/>
          <w:lang w:val="nl-NL"/>
        </w:rPr>
        <w:lastRenderedPageBreak/>
        <w:t xml:space="preserve">Tucker, G., Allen, B., Conway, M., Dickie, I., Hart, K., Rayment, M., Schulp, C., van Teeffelen, A., 2013. </w:t>
      </w:r>
      <w:r w:rsidRPr="00BE1870">
        <w:rPr>
          <w:rFonts w:cs="Arial"/>
          <w:noProof/>
          <w:sz w:val="20"/>
          <w:szCs w:val="24"/>
        </w:rPr>
        <w:t>Policy Options for an EU No Net Loss Initiative.</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Van den Berg, A.E., Koole, S.L., 2006. New wilderness in the Netherlands: An investigation of visual preferences for nature development landscapes. Landsc. Urban Plan. 78, 362–372. doi:http://dx.doi.org/10.1016/j.landurbplan.2005.11.006</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Van Teeffelen, A.J.A., Vos, C.C., Jochem, R., Baveco, J.M., Meeuwsen, H., Hilbers, J.P., 2015. Is green infrastructure an effective climate adaptation strategy for conserving biodiversity? A case study with the great crested newt. Landsc. Ecol. 30, 937–954. doi:10.1007/s10980-015-0187-3</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Vatn, A., Bromley, D.W., 1994. Choices without Prices without Apologies. J. Environ. Econ. Manage. 26, 129–148. doi:10.1006/jeem.1994.1008</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Vecchiato, D., Tempesta, T., 2013. Valuing the benefits of an afforestation project in a peri-urban area with choice experiments. For. Policy Econ. 26, 111–120. doi:http://dx.doi.org/10.1016/j.forpol.2012.10.001</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Villarroya, A., Barros, A.C., Kiesecker, J., 2014. Policy development for environmental licensing and biodiversity offsets in Latin America. PLoS One 9, e107144. doi:10.1371/journal.pone.0107144</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E1870">
        <w:rPr>
          <w:rFonts w:cs="Arial"/>
          <w:noProof/>
          <w:sz w:val="20"/>
          <w:szCs w:val="24"/>
        </w:rPr>
        <w:t>Walker, A.J., Ryan, R.L., 2008. Place attachment and landscape preservation in rural New England: A Maine case study. Landsc. Urban Plan. 86, 141–152. doi:10.1016/j.landurbplan.2008.02.001</w:t>
      </w:r>
    </w:p>
    <w:p w:rsidR="003F789A" w:rsidRPr="00B3364F" w:rsidRDefault="003F789A" w:rsidP="00934054">
      <w:pPr>
        <w:widowControl w:val="0"/>
        <w:autoSpaceDE w:val="0"/>
        <w:autoSpaceDN w:val="0"/>
        <w:adjustRightInd w:val="0"/>
        <w:spacing w:after="140" w:line="240" w:lineRule="auto"/>
        <w:ind w:left="480" w:hanging="480"/>
        <w:jc w:val="left"/>
        <w:rPr>
          <w:rFonts w:cs="Arial"/>
          <w:noProof/>
          <w:sz w:val="20"/>
          <w:szCs w:val="24"/>
          <w:lang w:val="nl-NL"/>
        </w:rPr>
      </w:pPr>
      <w:r w:rsidRPr="00BE1870">
        <w:rPr>
          <w:rFonts w:cs="Arial"/>
          <w:noProof/>
          <w:sz w:val="20"/>
          <w:szCs w:val="24"/>
        </w:rPr>
        <w:t xml:space="preserve">Westerberg, V., Jacobsen, J.B., Lifran, R., 2013. The case for offshore wind farms, artificial reefs and sustainable tourism in the French mediterranean. </w:t>
      </w:r>
      <w:r w:rsidRPr="00B3364F">
        <w:rPr>
          <w:rFonts w:cs="Arial"/>
          <w:noProof/>
          <w:sz w:val="20"/>
          <w:szCs w:val="24"/>
          <w:lang w:val="nl-NL"/>
        </w:rPr>
        <w:t>Tour. Manag. 34, 172–183. doi:http://dx.doi.org/10.1016/j.tourman.2012.04.008</w:t>
      </w:r>
    </w:p>
    <w:p w:rsidR="003F789A" w:rsidRPr="00BE1870" w:rsidRDefault="003F789A" w:rsidP="00934054">
      <w:pPr>
        <w:widowControl w:val="0"/>
        <w:autoSpaceDE w:val="0"/>
        <w:autoSpaceDN w:val="0"/>
        <w:adjustRightInd w:val="0"/>
        <w:spacing w:after="140" w:line="240" w:lineRule="auto"/>
        <w:ind w:left="480" w:hanging="480"/>
        <w:jc w:val="left"/>
        <w:rPr>
          <w:rFonts w:cs="Arial"/>
          <w:noProof/>
          <w:sz w:val="20"/>
          <w:szCs w:val="24"/>
        </w:rPr>
      </w:pPr>
      <w:r w:rsidRPr="00B3364F">
        <w:rPr>
          <w:rFonts w:cs="Arial"/>
          <w:noProof/>
          <w:sz w:val="20"/>
          <w:szCs w:val="24"/>
          <w:lang w:val="nl-NL"/>
        </w:rPr>
        <w:t xml:space="preserve">Westerink, J., Haase, D., Bauer, A., Ravetz, J., Jarrige, F., Aalbers, C.B.E.M., 2013. </w:t>
      </w:r>
      <w:r w:rsidRPr="00BE1870">
        <w:rPr>
          <w:rFonts w:cs="Arial"/>
          <w:noProof/>
          <w:sz w:val="20"/>
          <w:szCs w:val="24"/>
        </w:rPr>
        <w:t>Dealing with Sustainability Trade-Offs of the Compact City in Peri-Urban Planning Across European City Regions. Eur. Plan. Stud. 21, 473–497. doi:10.1080/09654313.2012.722927</w:t>
      </w:r>
    </w:p>
    <w:p w:rsidR="003F789A" w:rsidRPr="00A75D5D" w:rsidRDefault="003F789A" w:rsidP="00E14D2C">
      <w:pPr>
        <w:widowControl w:val="0"/>
        <w:autoSpaceDE w:val="0"/>
        <w:autoSpaceDN w:val="0"/>
        <w:adjustRightInd w:val="0"/>
        <w:spacing w:after="140" w:line="240" w:lineRule="auto"/>
        <w:ind w:left="480" w:hanging="480"/>
        <w:jc w:val="left"/>
        <w:rPr>
          <w:rFonts w:cs="Arial"/>
          <w:b/>
          <w:color w:val="339966"/>
          <w:sz w:val="36"/>
          <w:szCs w:val="36"/>
        </w:rPr>
      </w:pPr>
      <w:r>
        <w:rPr>
          <w:rFonts w:cs="Arial"/>
          <w:noProof/>
          <w:sz w:val="20"/>
          <w:szCs w:val="24"/>
        </w:rPr>
        <w:br w:type="page"/>
      </w:r>
      <w:r w:rsidRPr="00FB47ED">
        <w:rPr>
          <w:rFonts w:cs="Arial"/>
          <w:sz w:val="20"/>
        </w:rPr>
        <w:lastRenderedPageBreak/>
        <w:fldChar w:fldCharType="end"/>
      </w:r>
      <w:r w:rsidRPr="00A75D5D">
        <w:rPr>
          <w:rFonts w:cs="Arial"/>
          <w:b/>
          <w:color w:val="339966"/>
          <w:sz w:val="36"/>
          <w:szCs w:val="36"/>
        </w:rPr>
        <w:t>Paper 2</w:t>
      </w:r>
    </w:p>
    <w:p w:rsidR="003F789A" w:rsidRPr="00857048" w:rsidRDefault="003F789A" w:rsidP="00E14D2C">
      <w:pPr>
        <w:widowControl w:val="0"/>
        <w:autoSpaceDE w:val="0"/>
        <w:autoSpaceDN w:val="0"/>
        <w:adjustRightInd w:val="0"/>
        <w:spacing w:after="140" w:line="240" w:lineRule="auto"/>
        <w:ind w:left="480" w:hanging="480"/>
        <w:jc w:val="left"/>
        <w:rPr>
          <w:sz w:val="20"/>
        </w:rPr>
      </w:pPr>
    </w:p>
    <w:p w:rsidR="003F789A" w:rsidRPr="00BD5483" w:rsidRDefault="003F789A" w:rsidP="0032165B">
      <w:pPr>
        <w:pStyle w:val="Heading2"/>
        <w:numPr>
          <w:ilvl w:val="1"/>
          <w:numId w:val="35"/>
        </w:numPr>
        <w:spacing w:line="240" w:lineRule="auto"/>
        <w:ind w:left="851" w:hanging="851"/>
        <w:rPr>
          <w:rFonts w:ascii="Arial Bold" w:hAnsi="Arial Bold"/>
          <w:color w:val="008080"/>
          <w:lang w:val="en-US"/>
        </w:rPr>
      </w:pPr>
      <w:r w:rsidRPr="00BD5483">
        <w:rPr>
          <w:rFonts w:ascii="Arial Bold" w:hAnsi="Arial Bold"/>
          <w:color w:val="008080"/>
          <w:lang w:val="en-US"/>
        </w:rPr>
        <w:t xml:space="preserve"> </w:t>
      </w:r>
      <w:bookmarkStart w:id="81" w:name="_Toc436757150"/>
      <w:bookmarkStart w:id="82" w:name="_Toc436758089"/>
      <w:bookmarkStart w:id="83" w:name="_Toc436915613"/>
      <w:bookmarkStart w:id="84" w:name="_Toc436916054"/>
      <w:r w:rsidRPr="00BD5483">
        <w:rPr>
          <w:rFonts w:ascii="Arial Bold" w:hAnsi="Arial Bold"/>
          <w:color w:val="008080"/>
          <w:lang w:val="en-US"/>
        </w:rPr>
        <w:t>Testing non-monetary methods for social valuation of ecosystem services to explain trade-off in land management in Scotland</w:t>
      </w:r>
      <w:bookmarkEnd w:id="81"/>
      <w:bookmarkEnd w:id="82"/>
      <w:bookmarkEnd w:id="83"/>
      <w:bookmarkEnd w:id="84"/>
    </w:p>
    <w:p w:rsidR="003F789A" w:rsidRPr="00A75D5D" w:rsidRDefault="003F789A" w:rsidP="00A75D5D">
      <w:pPr>
        <w:rPr>
          <w:lang w:val="en-US"/>
        </w:rPr>
      </w:pPr>
    </w:p>
    <w:p w:rsidR="003F789A" w:rsidRDefault="003F789A" w:rsidP="00FF4767">
      <w:pPr>
        <w:tabs>
          <w:tab w:val="left" w:pos="851"/>
        </w:tabs>
        <w:spacing w:line="360" w:lineRule="auto"/>
        <w:ind w:left="851"/>
        <w:rPr>
          <w:b/>
          <w:sz w:val="20"/>
        </w:rPr>
      </w:pPr>
      <w:proofErr w:type="spellStart"/>
      <w:r w:rsidRPr="00BD5483">
        <w:rPr>
          <w:b/>
          <w:sz w:val="20"/>
        </w:rPr>
        <w:t>Katja</w:t>
      </w:r>
      <w:proofErr w:type="spellEnd"/>
      <w:r w:rsidRPr="00BD5483">
        <w:rPr>
          <w:b/>
          <w:sz w:val="20"/>
        </w:rPr>
        <w:t xml:space="preserve"> S</w:t>
      </w:r>
      <w:r w:rsidRPr="00A75D5D">
        <w:rPr>
          <w:b/>
          <w:sz w:val="20"/>
        </w:rPr>
        <w:t>chmidt, A</w:t>
      </w:r>
      <w:r>
        <w:rPr>
          <w:b/>
          <w:sz w:val="20"/>
        </w:rPr>
        <w:t xml:space="preserve">riane </w:t>
      </w:r>
      <w:proofErr w:type="spellStart"/>
      <w:r>
        <w:rPr>
          <w:b/>
          <w:sz w:val="20"/>
        </w:rPr>
        <w:t>Walz</w:t>
      </w:r>
      <w:proofErr w:type="spellEnd"/>
      <w:r w:rsidRPr="00A75D5D">
        <w:rPr>
          <w:b/>
          <w:sz w:val="20"/>
        </w:rPr>
        <w:t xml:space="preserve">, </w:t>
      </w:r>
      <w:r>
        <w:rPr>
          <w:b/>
          <w:sz w:val="20"/>
        </w:rPr>
        <w:t xml:space="preserve">Berta </w:t>
      </w:r>
      <w:r w:rsidRPr="00A75D5D">
        <w:rPr>
          <w:b/>
          <w:sz w:val="20"/>
        </w:rPr>
        <w:t xml:space="preserve">Martin-Lopez </w:t>
      </w:r>
      <w:r>
        <w:rPr>
          <w:b/>
          <w:sz w:val="20"/>
        </w:rPr>
        <w:t xml:space="preserve">and R. </w:t>
      </w:r>
      <w:proofErr w:type="spellStart"/>
      <w:r w:rsidRPr="00A75D5D">
        <w:rPr>
          <w:b/>
          <w:sz w:val="20"/>
        </w:rPr>
        <w:t>Sachse</w:t>
      </w:r>
      <w:proofErr w:type="spellEnd"/>
      <w:r w:rsidRPr="00A75D5D">
        <w:rPr>
          <w:b/>
          <w:sz w:val="20"/>
        </w:rPr>
        <w:t>.</w:t>
      </w:r>
    </w:p>
    <w:p w:rsidR="003F789A" w:rsidRPr="00A75D5D" w:rsidRDefault="003F789A" w:rsidP="00A75D5D">
      <w:pPr>
        <w:tabs>
          <w:tab w:val="left" w:pos="851"/>
        </w:tabs>
        <w:spacing w:line="360" w:lineRule="auto"/>
        <w:rPr>
          <w:b/>
          <w:sz w:val="20"/>
        </w:rPr>
      </w:pPr>
    </w:p>
    <w:p w:rsidR="003F789A" w:rsidRPr="000A4766" w:rsidRDefault="003F789A" w:rsidP="0032165B">
      <w:pPr>
        <w:pStyle w:val="Heading3"/>
        <w:numPr>
          <w:ilvl w:val="2"/>
          <w:numId w:val="35"/>
        </w:numPr>
        <w:ind w:left="851" w:hanging="851"/>
      </w:pPr>
      <w:bookmarkStart w:id="85" w:name="_Toc436757151"/>
      <w:bookmarkStart w:id="86" w:name="_Toc436758090"/>
      <w:r>
        <w:t xml:space="preserve"> </w:t>
      </w:r>
      <w:bookmarkStart w:id="87" w:name="_Toc436915614"/>
      <w:bookmarkStart w:id="88" w:name="_Toc436916055"/>
      <w:r w:rsidRPr="000A4766">
        <w:t>Introduction</w:t>
      </w:r>
      <w:bookmarkEnd w:id="85"/>
      <w:bookmarkEnd w:id="86"/>
      <w:bookmarkEnd w:id="87"/>
      <w:bookmarkEnd w:id="88"/>
      <w:r w:rsidRPr="000A4766">
        <w:t xml:space="preserve">          </w:t>
      </w:r>
    </w:p>
    <w:p w:rsidR="003F789A" w:rsidRDefault="003F789A" w:rsidP="00A75D5D">
      <w:pPr>
        <w:spacing w:line="360" w:lineRule="auto"/>
        <w:rPr>
          <w:sz w:val="20"/>
          <w:lang w:val="en-US"/>
        </w:rPr>
      </w:pPr>
      <w:r w:rsidRPr="000A4766">
        <w:rPr>
          <w:sz w:val="20"/>
          <w:lang w:val="en-US"/>
        </w:rPr>
        <w:t xml:space="preserve">Several methods use social valuation to assess the importance of ecosystem services (ES), emphasizing stakeholder participation and expressing individual or group opinions. These opinions can generally be expressed in monetary or non-monetary terms. Whereas the application of monetary valuation methods has prevailed since the introduction of the </w:t>
      </w:r>
      <w:r>
        <w:rPr>
          <w:sz w:val="20"/>
          <w:lang w:val="en-US"/>
        </w:rPr>
        <w:t>ES</w:t>
      </w:r>
      <w:r w:rsidRPr="000A4766">
        <w:rPr>
          <w:sz w:val="20"/>
          <w:lang w:val="en-US"/>
        </w:rPr>
        <w:t xml:space="preserve">s concept </w:t>
      </w:r>
      <w:r w:rsidRPr="000A4766">
        <w:rPr>
          <w:sz w:val="20"/>
          <w:lang w:val="en-US"/>
        </w:rPr>
        <w:fldChar w:fldCharType="begin"/>
      </w:r>
      <w:r w:rsidRPr="000A4766">
        <w:rPr>
          <w:sz w:val="20"/>
          <w:lang w:val="en-US"/>
        </w:rPr>
        <w:instrText xml:space="preserve"> ADDIN EN.CITE &lt;EndNote&gt;&lt;Cite&gt;&lt;Author&gt;Gómez-Baggethun&lt;/Author&gt;&lt;Year&gt;2014&lt;/Year&gt;&lt;IDText&gt;&amp;lt;div data-canvas-width=&amp;quot;159.10479999999993&amp;quot; style=&amp;quot;left: 311.833px; top: 748.283px; font-size: 18.4px; font-family: sans-serif; transform: scaleX(0.879518);&amp;quot;&amp;gt;State-of-the-art report on integrated valuationof ecosystem services&lt;/IDText&gt;&lt;DisplayText&gt;(Gómez-Baggethun et al., 2014)&lt;/DisplayText&gt;&lt;record&gt;&lt;titles&gt;&lt;title&gt;&amp;lt;div data-canvas-width=&amp;quot;159.10479999999993&amp;quot; style=&amp;quot;left: 311.833px; top: 748.283px; font-size: 18.4px; font-family: sans-serif; transform: scaleX(0.879518);&amp;quot;&amp;gt;State-of-the-art report on integrated valuationof ecosystem services&lt;/title&gt;&lt;/titles&gt;&lt;contributors&gt;&lt;authors&gt;&lt;author&gt;Gómez-Baggethun, E.&lt;/author&gt;&lt;author&gt;Martín-López, B.&lt;/author&gt;&lt;author&gt;Barton, D.&lt;/author&gt;&lt;author&gt;Braat, L.&lt;/author&gt;&lt;author&gt;Saarikoski, H.&lt;/author&gt;&lt;author&gt;Kelemen, M.&lt;/author&gt;&lt;author&gt;García-Llorente, E.&lt;/author&gt;&lt;author&gt;van den Bergh, J.&lt;/author&gt;&lt;author&gt;Arias, P.&lt;/author&gt;&lt;author&gt;Berry, P.&lt;/author&gt;&lt;author&gt;Potschin, M.&lt;/author&gt;&lt;author&gt;Keene, H.&lt;/author&gt;&lt;author&gt;Dunford,R.&lt;/author&gt;&lt;author&gt;Schröter-Schlaack, C.&lt;/author&gt;&lt;author&gt;Harrison, P.&lt;/author&gt;&lt;/authors&gt;&lt;/contributors&gt;&lt;added-date format="utc"&gt;1447148913&lt;/added-date&gt;&lt;ref-type name="Generic"&gt;13&lt;/ref-type&gt;&lt;dates&gt;&lt;year&gt;2014&lt;/year&gt;&lt;/dates&gt;&lt;rec-number&gt;4135&lt;/rec-number&gt;&lt;publisher&gt;European Commission FP7&lt;/publisher&gt;&lt;last-updated-date format="utc"&gt;1447149352&lt;/last-updated-date&gt;&lt;volume&gt;&amp;lt;div data-canvas-width=&amp;quot;27.9864&amp;quot; style=&amp;quot;left: 596.117px; top: 658.683px; font-size: 18.4px; font-family: sans-serif; transform: scaleX(0.913096);&amp;quot;&amp;gt;EU FP7 OpenNESS Project Deliverable 4.1.&lt;/volume&gt;&lt;/record&gt;&lt;/Cite&gt;&lt;/EndNote&gt;</w:instrText>
      </w:r>
      <w:r w:rsidRPr="000A4766">
        <w:rPr>
          <w:sz w:val="20"/>
          <w:lang w:val="en-US"/>
        </w:rPr>
        <w:fldChar w:fldCharType="separate"/>
      </w:r>
      <w:r w:rsidRPr="000A4766">
        <w:rPr>
          <w:noProof/>
          <w:sz w:val="20"/>
          <w:lang w:val="en-US"/>
        </w:rPr>
        <w:t>(Gómez-Baggethun et al., 2014)</w:t>
      </w:r>
      <w:r w:rsidRPr="000A4766">
        <w:rPr>
          <w:sz w:val="20"/>
          <w:lang w:val="en-US"/>
        </w:rPr>
        <w:fldChar w:fldCharType="end"/>
      </w:r>
      <w:r w:rsidRPr="000A4766">
        <w:rPr>
          <w:sz w:val="20"/>
          <w:lang w:val="en-US"/>
        </w:rPr>
        <w:t xml:space="preserve">, the notion of value pluralism which acknowledges multiple equally fundamental values has been adapted recently in scientific and policy communities </w:t>
      </w:r>
      <w:r w:rsidRPr="000A4766">
        <w:rPr>
          <w:sz w:val="20"/>
          <w:lang w:val="en-US"/>
        </w:rPr>
        <w:fldChar w:fldCharType="begin">
          <w:fldData xml:space="preserve">PEVuZE5vdGU+PENpdGU+PEF1dGhvcj5Hw7NtZXotQmFnZ2V0aHVuPC9BdXRob3I+PFllYXI+MjAx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</w:fldData>
        </w:fldChar>
      </w:r>
      <w:r w:rsidRPr="000A4766">
        <w:rPr>
          <w:sz w:val="20"/>
          <w:lang w:val="en-US"/>
        </w:rPr>
        <w:instrText xml:space="preserve"> ADDIN EN.CITE </w:instrText>
      </w:r>
      <w:r w:rsidRPr="000A4766">
        <w:rPr>
          <w:sz w:val="20"/>
          <w:lang w:val="en-US"/>
        </w:rPr>
        <w:fldChar w:fldCharType="begin">
          <w:fldData xml:space="preserve">PEVuZE5vdGU+PENpdGU+PEF1dGhvcj5Hw7NtZXotQmFnZ2V0aHVuPC9BdXRob3I+PFllYXI+MjAx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</w:fldData>
        </w:fldChar>
      </w:r>
      <w:r w:rsidRPr="000A4766">
        <w:rPr>
          <w:sz w:val="20"/>
          <w:lang w:val="en-US"/>
        </w:rPr>
        <w:instrText xml:space="preserve"> ADDIN EN.CITE.DATA </w:instrText>
      </w:r>
      <w:r w:rsidRPr="000A4766">
        <w:rPr>
          <w:sz w:val="20"/>
          <w:lang w:val="en-US"/>
        </w:rPr>
      </w:r>
      <w:r w:rsidRPr="000A4766">
        <w:rPr>
          <w:sz w:val="20"/>
          <w:lang w:val="en-US"/>
        </w:rPr>
        <w:fldChar w:fldCharType="end"/>
      </w:r>
      <w:r w:rsidRPr="000A4766">
        <w:rPr>
          <w:sz w:val="20"/>
          <w:lang w:val="en-US"/>
        </w:rPr>
      </w:r>
      <w:r w:rsidRPr="000A4766">
        <w:rPr>
          <w:sz w:val="20"/>
          <w:lang w:val="en-US"/>
        </w:rPr>
        <w:fldChar w:fldCharType="separate"/>
      </w:r>
      <w:r w:rsidRPr="000A4766">
        <w:rPr>
          <w:noProof/>
          <w:sz w:val="20"/>
          <w:lang w:val="en-US"/>
        </w:rPr>
        <w:t>(Chan et al., 2012; Díaz et al., 2015; Gómez-Baggethun et al., 2014; Spangenberg et al.)</w:t>
      </w:r>
      <w:r w:rsidRPr="000A4766">
        <w:rPr>
          <w:sz w:val="20"/>
          <w:lang w:val="en-US"/>
        </w:rPr>
        <w:fldChar w:fldCharType="end"/>
      </w:r>
      <w:r w:rsidRPr="000A4766">
        <w:rPr>
          <w:sz w:val="20"/>
          <w:lang w:val="en-US"/>
        </w:rPr>
        <w:t xml:space="preserve">. It is argued that the assessment of the multiple values (i.e. monetary, non-monetary, and biophysical) of ES provides more comprehensive information on ecosystem values </w:t>
      </w:r>
      <w:r w:rsidRPr="000A4766">
        <w:rPr>
          <w:sz w:val="20"/>
          <w:lang w:val="en-US"/>
        </w:rPr>
        <w:fldChar w:fldCharType="begin"/>
      </w:r>
      <w:r w:rsidRPr="000A4766">
        <w:rPr>
          <w:sz w:val="20"/>
          <w:lang w:val="en-US"/>
        </w:rPr>
        <w:instrText xml:space="preserve"> ADDIN EN.CITE &lt;EndNote&gt;&lt;Cite&gt;&lt;Author&gt;Martín-López&lt;/Author&gt;&lt;Year&gt;2014&lt;/Year&gt;&lt;IDText&gt;Trade-offs across value-domains in ecosystem services assessment&lt;/IDText&gt;&lt;DisplayText&gt;(Martín-López et al., 2014)&lt;/DisplayText&gt;&lt;record&gt;&lt;dates&gt;&lt;pub-dates&gt;&lt;date&gt;2//&lt;/date&gt;&lt;/pub-dates&gt;&lt;year&gt;2014&lt;/year&gt;&lt;/dates&gt;&lt;keywords&gt;&lt;keyword&gt;Indicators&lt;/keyword&gt;&lt;keyword&gt;Quantitative evaluation&lt;/keyword&gt;&lt;keyword&gt;Social–ecological system&lt;/keyword&gt;&lt;keyword&gt;Trade-offs&lt;/keyword&gt;&lt;keyword&gt;Value-articulating institutions&lt;/keyword&gt;&lt;keyword&gt;Value pluralism&lt;/keyword&gt;&lt;/keywords&gt;&lt;urls&gt;&lt;related-urls&gt;&lt;url&gt;http://www.sciencedirect.com/science/article/pii/S1470160X1300109X&lt;/url&gt;&lt;/related-urls&gt;&lt;/urls&gt;&lt;isbn&gt;1470-160X&lt;/isbn&gt;&lt;titles&gt;&lt;title&gt;Trade-offs across value-domains in ecosystem services assessment&lt;/title&gt;&lt;secondary-title&gt;Ecological Indicators&lt;/secondary-title&gt;&lt;/titles&gt;&lt;pages&gt;220-228&lt;/pages&gt;&lt;number&gt;0&lt;/number&gt;&lt;contributors&gt;&lt;authors&gt;&lt;author&gt;Martín-López, Berta&lt;/author&gt;&lt;author&gt;Gómez-Baggethun, Erik&lt;/author&gt;&lt;author&gt;García-Llorente, Marina&lt;/author&gt;&lt;author&gt;Montes, Carlos&lt;/author&gt;&lt;/authors&gt;&lt;/contributors&gt;&lt;added-date format="utc"&gt;1399994469&lt;/added-date&gt;&lt;ref-type name="Journal Article"&gt;17&lt;/ref-type&gt;&lt;rec-number&gt;237&lt;/rec-number&gt;&lt;last-updated-date format="utc"&gt;1421397286&lt;/last-updated-date&gt;&lt;electronic-resource-num&gt;http://dx.doi.org/10.1016/j.ecolind.2013.03.003&lt;/electronic-resource-num&gt;&lt;volume&gt;37, Part A&lt;/volume&gt;&lt;/record&gt;&lt;/Cite&gt;&lt;/EndNote&gt;</w:instrText>
      </w:r>
      <w:r w:rsidRPr="000A4766">
        <w:rPr>
          <w:sz w:val="20"/>
          <w:lang w:val="en-US"/>
        </w:rPr>
        <w:fldChar w:fldCharType="separate"/>
      </w:r>
      <w:r w:rsidRPr="000A4766">
        <w:rPr>
          <w:noProof/>
          <w:sz w:val="20"/>
          <w:lang w:val="en-US"/>
        </w:rPr>
        <w:t>(Martín-López et al., 2014)</w:t>
      </w:r>
      <w:r w:rsidRPr="000A4766">
        <w:rPr>
          <w:sz w:val="20"/>
          <w:lang w:val="en-US"/>
        </w:rPr>
        <w:fldChar w:fldCharType="end"/>
      </w:r>
      <w:r w:rsidRPr="000A4766">
        <w:rPr>
          <w:sz w:val="20"/>
          <w:lang w:val="en-US"/>
        </w:rPr>
        <w:t xml:space="preserve"> and can be used to identify trade-offs between </w:t>
      </w:r>
      <w:r>
        <w:rPr>
          <w:sz w:val="20"/>
          <w:lang w:val="en-US"/>
        </w:rPr>
        <w:t>ES</w:t>
      </w:r>
      <w:r w:rsidRPr="000A4766">
        <w:rPr>
          <w:sz w:val="20"/>
          <w:lang w:val="en-US"/>
        </w:rPr>
        <w:t xml:space="preserve">s for the purposes of equitable policy decisions </w:t>
      </w:r>
      <w:r w:rsidRPr="000A4766">
        <w:rPr>
          <w:sz w:val="20"/>
          <w:lang w:val="en-US"/>
        </w:rPr>
        <w:fldChar w:fldCharType="begin">
          <w:fldData xml:space="preserve">PEVuZE5vdGU+PENpdGU+PEF1dGhvcj5Ew61hejwvQXV0aG9yPjxZZWFyPjIwMTU8L1llYXI+PElE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</w:fldData>
        </w:fldChar>
      </w:r>
      <w:r w:rsidRPr="000A4766">
        <w:rPr>
          <w:sz w:val="20"/>
          <w:lang w:val="en-US"/>
        </w:rPr>
        <w:instrText xml:space="preserve"> ADDIN EN.CITE </w:instrText>
      </w:r>
      <w:r w:rsidRPr="000A4766">
        <w:rPr>
          <w:sz w:val="20"/>
          <w:lang w:val="en-US"/>
        </w:rPr>
        <w:fldChar w:fldCharType="begin">
          <w:fldData xml:space="preserve">PEVuZE5vdGU+PENpdGU+PEF1dGhvcj5Ew61hejwvQXV0aG9yPjxZZWFyPjIwMTU8L1llYXI+PElE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</w:fldData>
        </w:fldChar>
      </w:r>
      <w:r w:rsidRPr="000A4766">
        <w:rPr>
          <w:sz w:val="20"/>
          <w:lang w:val="en-US"/>
        </w:rPr>
        <w:instrText xml:space="preserve"> ADDIN EN.CITE.DATA </w:instrText>
      </w:r>
      <w:r w:rsidRPr="000A4766">
        <w:rPr>
          <w:sz w:val="20"/>
          <w:lang w:val="en-US"/>
        </w:rPr>
      </w:r>
      <w:r w:rsidRPr="000A4766">
        <w:rPr>
          <w:sz w:val="20"/>
          <w:lang w:val="en-US"/>
        </w:rPr>
        <w:fldChar w:fldCharType="end"/>
      </w:r>
      <w:r w:rsidRPr="000A4766">
        <w:rPr>
          <w:sz w:val="20"/>
          <w:lang w:val="en-US"/>
        </w:rPr>
      </w:r>
      <w:r w:rsidRPr="000A4766">
        <w:rPr>
          <w:sz w:val="20"/>
          <w:lang w:val="en-US"/>
        </w:rPr>
        <w:fldChar w:fldCharType="separate"/>
      </w:r>
      <w:r w:rsidRPr="000A4766">
        <w:rPr>
          <w:noProof/>
          <w:sz w:val="20"/>
          <w:lang w:val="en-US"/>
        </w:rPr>
        <w:t>(Díaz et al., 2015)</w:t>
      </w:r>
      <w:r w:rsidRPr="000A4766">
        <w:rPr>
          <w:sz w:val="20"/>
          <w:lang w:val="en-US"/>
        </w:rPr>
        <w:fldChar w:fldCharType="end"/>
      </w:r>
      <w:r w:rsidRPr="000A4766">
        <w:rPr>
          <w:sz w:val="20"/>
          <w:lang w:val="en-US"/>
        </w:rPr>
        <w:t xml:space="preserve">.   </w:t>
      </w:r>
    </w:p>
    <w:p w:rsidR="003F789A" w:rsidRPr="000A4766" w:rsidRDefault="003F789A" w:rsidP="00A75D5D">
      <w:pPr>
        <w:spacing w:line="360" w:lineRule="auto"/>
        <w:rPr>
          <w:sz w:val="20"/>
          <w:lang w:val="en-US"/>
        </w:rPr>
      </w:pPr>
    </w:p>
    <w:p w:rsidR="003F789A" w:rsidRDefault="003F789A" w:rsidP="00A75D5D">
      <w:pPr>
        <w:spacing w:line="360" w:lineRule="auto"/>
        <w:rPr>
          <w:sz w:val="20"/>
          <w:lang w:val="en-US"/>
        </w:rPr>
      </w:pPr>
      <w:r w:rsidRPr="000A4766">
        <w:rPr>
          <w:sz w:val="20"/>
          <w:lang w:val="en-US"/>
        </w:rPr>
        <w:t xml:space="preserve">Non-monetary valuation, despite having been increasingly implemented into landscape management in recent years </w:t>
      </w:r>
      <w:r w:rsidRPr="000A4766">
        <w:rPr>
          <w:sz w:val="20"/>
          <w:lang w:val="en-US"/>
        </w:rPr>
        <w:fldChar w:fldCharType="begin"/>
      </w:r>
      <w:r w:rsidRPr="000A4766">
        <w:rPr>
          <w:sz w:val="20"/>
          <w:lang w:val="en-US"/>
        </w:rPr>
        <w:instrText xml:space="preserve"> ADDIN EN.CITE &lt;EndNote&gt;&lt;Cite&gt;&lt;Author&gt;Reed&lt;/Author&gt;&lt;Year&gt;2008&lt;/Year&gt;&lt;IDText&gt;Stakeholder participation for environmental management: A literature review&lt;/IDText&gt;&lt;DisplayText&gt;(Reed, 2008)&lt;/DisplayText&gt;&lt;record&gt;&lt;dates&gt;&lt;pub-dates&gt;&lt;date&gt;10//&lt;/date&gt;&lt;/pub-dates&gt;&lt;year&gt;2008&lt;/year&gt;&lt;/dates&gt;&lt;keywords&gt;&lt;keyword&gt;Stakeholder participation&lt;/keyword&gt;&lt;keyword&gt;Environmental management&lt;/keyword&gt;&lt;keyword&gt;Knowledge&lt;/keyword&gt;&lt;keyword&gt;Decision-making&lt;/keyword&gt;&lt;keyword&gt;Best practice&lt;/keyword&gt;&lt;keyword&gt;Typology&lt;/keyword&gt;&lt;/keywords&gt;&lt;urls&gt;&lt;related-urls&gt;&lt;url&gt;http://www.sciencedirect.com/science/article/pii/S0006320708002693&lt;/url&gt;&lt;/related-urls&gt;&lt;/urls&gt;&lt;isbn&gt;0006-3207&lt;/isbn&gt;&lt;titles&gt;&lt;title&gt;Stakeholder participation for environmental management: A literature review&lt;/title&gt;&lt;secondary-title&gt;Biological Conservation&lt;/secondary-title&gt;&lt;/titles&gt;&lt;pages&gt;2417-2431&lt;/pages&gt;&lt;number&gt;10&lt;/number&gt;&lt;contributors&gt;&lt;authors&gt;&lt;author&gt;Reed, Mark S.&lt;/author&gt;&lt;/authors&gt;&lt;/contributors&gt;&lt;added-date format="utc"&gt;1438264344&lt;/added-date&gt;&lt;ref-type name="Journal Article"&gt;17&lt;/ref-type&gt;&lt;rec-number&gt;3679&lt;/rec-number&gt;&lt;last-updated-date format="utc"&gt;1438264344&lt;/last-updated-date&gt;&lt;electronic-resource-num&gt;http://dx.doi.org/10.1016/j.biocon.2008.07.014&lt;/electronic-resource-num&gt;&lt;volume&gt;141&lt;/volume&gt;&lt;/record&gt;&lt;/Cite&gt;&lt;/EndNote&gt;</w:instrText>
      </w:r>
      <w:r w:rsidRPr="000A4766">
        <w:rPr>
          <w:sz w:val="20"/>
          <w:lang w:val="en-US"/>
        </w:rPr>
        <w:fldChar w:fldCharType="separate"/>
      </w:r>
      <w:r w:rsidRPr="000A4766">
        <w:rPr>
          <w:noProof/>
          <w:sz w:val="20"/>
          <w:lang w:val="en-US"/>
        </w:rPr>
        <w:t>(Reed, 2008)</w:t>
      </w:r>
      <w:r w:rsidRPr="000A4766">
        <w:rPr>
          <w:sz w:val="20"/>
          <w:lang w:val="en-US"/>
        </w:rPr>
        <w:fldChar w:fldCharType="end"/>
      </w:r>
      <w:r w:rsidRPr="000A4766">
        <w:rPr>
          <w:sz w:val="20"/>
          <w:lang w:val="en-US"/>
        </w:rPr>
        <w:t xml:space="preserve"> and having been acknowledged in ES typologies (MA, TEEB, CICES), has not yet found a balanced application in ES assessments </w:t>
      </w:r>
      <w:r w:rsidRPr="000A4766">
        <w:rPr>
          <w:sz w:val="20"/>
          <w:lang w:val="en-US"/>
        </w:rPr>
        <w:fldChar w:fldCharType="begin"/>
      </w:r>
      <w:r w:rsidRPr="000A4766">
        <w:rPr>
          <w:sz w:val="20"/>
          <w:lang w:val="en-US"/>
        </w:rPr>
        <w:instrText xml:space="preserve"> ADDIN EN.CITE &lt;EndNote&gt;&lt;Cite&gt;&lt;Author&gt;Nieto-Romero&lt;/Author&gt;&lt;Year&gt;2014&lt;/Year&gt;&lt;IDText&gt;Exploring the knowledge landscape of ecosystem services assessments in Mediterranean agroecosystems: Insights for future research&lt;/IDText&gt;&lt;DisplayText&gt;(Nieto-Romero et al., 2014)&lt;/DisplayText&gt;&lt;record&gt;&lt;dates&gt;&lt;pub-dates&gt;&lt;date&gt;3//&lt;/date&gt;&lt;/pub-dates&gt;&lt;year&gt;2014&lt;/year&gt;&lt;/dates&gt;&lt;keywords&gt;&lt;keyword&gt;Agroecosystems management&lt;/keyword&gt;&lt;keyword&gt;Ecosystem services assessment&lt;/keyword&gt;&lt;keyword&gt;Environmental policy&lt;/keyword&gt;&lt;keyword&gt;Literature review&lt;/keyword&gt;&lt;keyword&gt;Integrated approaches&lt;/keyword&gt;&lt;keyword&gt;Science policy&lt;/keyword&gt;&lt;/keywords&gt;&lt;urls&gt;&lt;related-urls&gt;&lt;url&gt;http://www.sciencedirect.com/science/article/pii/S1462901113001809&lt;/url&gt;&lt;/related-urls&gt;&lt;/urls&gt;&lt;isbn&gt;1462-9011&lt;/isbn&gt;&lt;titles&gt;&lt;title&gt;Exploring the knowledge landscape of ecosystem services assessments in Mediterranean agroecosystems: Insights for future research&lt;/title&gt;&lt;secondary-title&gt;Environmental Science &amp;amp; Policy&lt;/secondary-title&gt;&lt;/titles&gt;&lt;pages&gt;121-133&lt;/pages&gt;&lt;number&gt;0&lt;/number&gt;&lt;contributors&gt;&lt;authors&gt;&lt;author&gt;Nieto-Romero, Marta&lt;/author&gt;&lt;author&gt;Oteros-Rozas, Elisa&lt;/author&gt;&lt;author&gt;González, José A.&lt;/author&gt;&lt;author&gt;Martín-López, Berta&lt;/author&gt;&lt;/authors&gt;&lt;/contributors&gt;&lt;added-date format="utc"&gt;1401177985&lt;/added-date&gt;&lt;ref-type name="Journal Article"&gt;17&lt;/ref-type&gt;&lt;rec-number&gt;240&lt;/rec-number&gt;&lt;last-updated-date format="utc"&gt;1421397286&lt;/last-updated-date&gt;&lt;electronic-resource-num&gt;http://dx.doi.org/10.1016/j.envsci.2013.09.003&lt;/electronic-resource-num&gt;&lt;volume&gt;37&lt;/volume&gt;&lt;/record&gt;&lt;/Cite&gt;&lt;/EndNote&gt;</w:instrText>
      </w:r>
      <w:r w:rsidRPr="000A4766">
        <w:rPr>
          <w:sz w:val="20"/>
          <w:lang w:val="en-US"/>
        </w:rPr>
        <w:fldChar w:fldCharType="separate"/>
      </w:r>
      <w:r w:rsidRPr="000A4766">
        <w:rPr>
          <w:noProof/>
          <w:sz w:val="20"/>
          <w:lang w:val="en-US"/>
        </w:rPr>
        <w:t>(Nieto-Romero et al., 2014)</w:t>
      </w:r>
      <w:r w:rsidRPr="000A4766">
        <w:rPr>
          <w:sz w:val="20"/>
          <w:lang w:val="en-US"/>
        </w:rPr>
        <w:fldChar w:fldCharType="end"/>
      </w:r>
      <w:r w:rsidRPr="000A4766">
        <w:rPr>
          <w:sz w:val="20"/>
          <w:lang w:val="en-US"/>
        </w:rPr>
        <w:t xml:space="preserve">. In this study, we aim to improve understanding of the potential of non-monetary techniques for the valuation of </w:t>
      </w:r>
      <w:r>
        <w:rPr>
          <w:sz w:val="20"/>
          <w:lang w:val="en-US"/>
        </w:rPr>
        <w:t>ES</w:t>
      </w:r>
      <w:r w:rsidRPr="000A4766">
        <w:rPr>
          <w:sz w:val="20"/>
          <w:lang w:val="en-US"/>
        </w:rPr>
        <w:t xml:space="preserve">s through the comparison of rating and weighting methods in the novel context of landscape preference assessment . The specific objectives are (1) to explore the importance of </w:t>
      </w:r>
      <w:r>
        <w:rPr>
          <w:sz w:val="20"/>
          <w:lang w:val="en-US"/>
        </w:rPr>
        <w:t>ES</w:t>
      </w:r>
      <w:r w:rsidRPr="000A4766">
        <w:rPr>
          <w:sz w:val="20"/>
          <w:lang w:val="en-US"/>
        </w:rPr>
        <w:t xml:space="preserve">s through rating and weighting approaches (2) to explain landscape preferences by rating and weighting, (3) to statistically </w:t>
      </w:r>
      <w:proofErr w:type="spellStart"/>
      <w:r w:rsidRPr="000A4766">
        <w:rPr>
          <w:sz w:val="20"/>
          <w:lang w:val="en-US"/>
        </w:rPr>
        <w:t>analyse</w:t>
      </w:r>
      <w:proofErr w:type="spellEnd"/>
      <w:r w:rsidRPr="000A4766">
        <w:rPr>
          <w:sz w:val="20"/>
          <w:lang w:val="en-US"/>
        </w:rPr>
        <w:t xml:space="preserve"> for which </w:t>
      </w:r>
      <w:r>
        <w:rPr>
          <w:sz w:val="20"/>
          <w:lang w:val="en-US"/>
        </w:rPr>
        <w:t>ES</w:t>
      </w:r>
      <w:r w:rsidRPr="000A4766">
        <w:rPr>
          <w:sz w:val="20"/>
          <w:lang w:val="en-US"/>
        </w:rPr>
        <w:t xml:space="preserve">s weighting and rating are distinct between clusters of people with divergent landscape preferences, and (4) to draw conclusions about the explanatory value of weighting and rating for landscape preferences.   We identify clusters of people with similar landscape preferences, identify rating and weighting levels of </w:t>
      </w:r>
      <w:r>
        <w:rPr>
          <w:sz w:val="20"/>
          <w:lang w:val="en-US"/>
        </w:rPr>
        <w:t>ES</w:t>
      </w:r>
      <w:r w:rsidRPr="000A4766">
        <w:rPr>
          <w:sz w:val="20"/>
          <w:lang w:val="en-US"/>
        </w:rPr>
        <w:t xml:space="preserve">s for these clusters, and statistically </w:t>
      </w:r>
      <w:proofErr w:type="spellStart"/>
      <w:r w:rsidRPr="000A4766">
        <w:rPr>
          <w:sz w:val="20"/>
          <w:lang w:val="en-US"/>
        </w:rPr>
        <w:t>analyse</w:t>
      </w:r>
      <w:proofErr w:type="spellEnd"/>
      <w:r w:rsidRPr="000A4766">
        <w:rPr>
          <w:sz w:val="20"/>
          <w:lang w:val="en-US"/>
        </w:rPr>
        <w:t xml:space="preserve"> the explanatory value of the rating of single </w:t>
      </w:r>
      <w:r>
        <w:rPr>
          <w:sz w:val="20"/>
          <w:lang w:val="en-US"/>
        </w:rPr>
        <w:t>ES</w:t>
      </w:r>
      <w:r w:rsidRPr="000A4766">
        <w:rPr>
          <w:sz w:val="20"/>
          <w:lang w:val="en-US"/>
        </w:rPr>
        <w:t xml:space="preserve">s within a case study in Scotland.     </w:t>
      </w:r>
    </w:p>
    <w:p w:rsidR="003F789A" w:rsidRPr="000A4766" w:rsidRDefault="003F789A" w:rsidP="00A75D5D">
      <w:pPr>
        <w:spacing w:line="360" w:lineRule="auto"/>
        <w:rPr>
          <w:sz w:val="20"/>
          <w:lang w:val="en-US"/>
        </w:rPr>
      </w:pPr>
    </w:p>
    <w:p w:rsidR="003F789A" w:rsidRPr="000A4766" w:rsidRDefault="003F789A" w:rsidP="0032165B">
      <w:pPr>
        <w:pStyle w:val="Heading3"/>
        <w:numPr>
          <w:ilvl w:val="2"/>
          <w:numId w:val="35"/>
        </w:numPr>
        <w:ind w:left="851" w:hanging="851"/>
      </w:pPr>
      <w:bookmarkStart w:id="89" w:name="_Toc436757152"/>
      <w:bookmarkStart w:id="90" w:name="_Toc436758091"/>
      <w:r>
        <w:t xml:space="preserve"> </w:t>
      </w:r>
      <w:bookmarkStart w:id="91" w:name="_Toc436915615"/>
      <w:bookmarkStart w:id="92" w:name="_Toc436916056"/>
      <w:r w:rsidRPr="000A4766">
        <w:t xml:space="preserve">Study area: </w:t>
      </w:r>
      <w:proofErr w:type="spellStart"/>
      <w:r w:rsidRPr="000A4766">
        <w:t>Pentland</w:t>
      </w:r>
      <w:proofErr w:type="spellEnd"/>
      <w:r w:rsidRPr="000A4766">
        <w:t xml:space="preserve"> Hills</w:t>
      </w:r>
      <w:bookmarkEnd w:id="89"/>
      <w:bookmarkEnd w:id="90"/>
      <w:bookmarkEnd w:id="91"/>
      <w:bookmarkEnd w:id="92"/>
    </w:p>
    <w:p w:rsidR="003F789A" w:rsidRPr="000A4766" w:rsidRDefault="003F789A" w:rsidP="00A75D5D">
      <w:pPr>
        <w:autoSpaceDE w:val="0"/>
        <w:autoSpaceDN w:val="0"/>
        <w:adjustRightInd w:val="0"/>
        <w:spacing w:after="120" w:line="360" w:lineRule="auto"/>
        <w:rPr>
          <w:sz w:val="20"/>
          <w:lang w:val="en-US"/>
        </w:rPr>
      </w:pPr>
      <w:r w:rsidRPr="000A4766">
        <w:rPr>
          <w:sz w:val="20"/>
          <w:lang w:val="en-US"/>
        </w:rPr>
        <w:t xml:space="preserve">The </w:t>
      </w:r>
      <w:proofErr w:type="spellStart"/>
      <w:r w:rsidRPr="000A4766">
        <w:rPr>
          <w:sz w:val="20"/>
          <w:lang w:val="en-US"/>
        </w:rPr>
        <w:t>Pentland</w:t>
      </w:r>
      <w:proofErr w:type="spellEnd"/>
      <w:r w:rsidRPr="000A4766">
        <w:rPr>
          <w:sz w:val="20"/>
          <w:lang w:val="en-US"/>
        </w:rPr>
        <w:t xml:space="preserve"> Hills is located to the south-west of Edinburgh. The area comprises a variety of land uses and provides an important recreational asset in the region. The northern part of the </w:t>
      </w:r>
      <w:proofErr w:type="spellStart"/>
      <w:r w:rsidRPr="000A4766">
        <w:rPr>
          <w:sz w:val="20"/>
          <w:lang w:val="en-US"/>
        </w:rPr>
        <w:t>Pentland</w:t>
      </w:r>
      <w:proofErr w:type="spellEnd"/>
      <w:r w:rsidRPr="000A4766">
        <w:rPr>
          <w:sz w:val="20"/>
          <w:lang w:val="en-US"/>
        </w:rPr>
        <w:t xml:space="preserve"> </w:t>
      </w:r>
      <w:r w:rsidRPr="000A4766">
        <w:rPr>
          <w:sz w:val="20"/>
          <w:lang w:val="en-US"/>
        </w:rPr>
        <w:lastRenderedPageBreak/>
        <w:t xml:space="preserve">Hills has been designated as a Regional Park since 1986 under the provisions of the Countryside (Scotland) Act 1981 and covers an area of around 10,000 hectares. </w:t>
      </w:r>
    </w:p>
    <w:p w:rsidR="003F789A" w:rsidRDefault="003F789A" w:rsidP="00A75D5D">
      <w:pPr>
        <w:spacing w:line="360" w:lineRule="auto"/>
        <w:rPr>
          <w:sz w:val="20"/>
          <w:lang w:val="en-US"/>
        </w:rPr>
      </w:pPr>
      <w:r w:rsidRPr="000A4766">
        <w:rPr>
          <w:sz w:val="20"/>
          <w:lang w:val="en-US"/>
        </w:rPr>
        <w:t xml:space="preserve">The land within the </w:t>
      </w:r>
      <w:proofErr w:type="spellStart"/>
      <w:r w:rsidRPr="000A4766">
        <w:rPr>
          <w:sz w:val="20"/>
          <w:lang w:val="en-US"/>
        </w:rPr>
        <w:t>Pentland</w:t>
      </w:r>
      <w:proofErr w:type="spellEnd"/>
      <w:r w:rsidRPr="000A4766">
        <w:rPr>
          <w:sz w:val="20"/>
          <w:lang w:val="en-US"/>
        </w:rPr>
        <w:t xml:space="preserve"> Hills Regional Park is mostly privately owned by over 30 landowners and farmers. Smaller sections are owned by the City of Edinburgh Council, Midlothian Council, West Lothian Council and Scottish Water. The Regional Park is designated as an Area of Great Landscape Value and comprises a landscape of hills, upland heather moorland, small pockets of woodland and reservoirs. The main land use is sheep farming (upland and lowland areas), arable farming on lower sections and equine. Traditional activities include shooting and fishing. The Regional Park is managed by the City of Edinburgh Council Natural Heritage Service and aims to conserve and enhance the environmental quality and public enjoyment of the area.</w:t>
      </w:r>
    </w:p>
    <w:p w:rsidR="003F789A" w:rsidRPr="000A4766" w:rsidRDefault="003F789A" w:rsidP="00A75D5D">
      <w:pPr>
        <w:spacing w:line="360" w:lineRule="auto"/>
        <w:rPr>
          <w:sz w:val="20"/>
          <w:lang w:val="en-US"/>
        </w:rPr>
      </w:pPr>
    </w:p>
    <w:p w:rsidR="003F789A" w:rsidRPr="000A4766" w:rsidRDefault="003F789A" w:rsidP="0032165B">
      <w:pPr>
        <w:pStyle w:val="Heading3"/>
        <w:numPr>
          <w:ilvl w:val="2"/>
          <w:numId w:val="35"/>
        </w:numPr>
        <w:ind w:left="851" w:hanging="851"/>
      </w:pPr>
      <w:bookmarkStart w:id="93" w:name="_Toc436757153"/>
      <w:bookmarkStart w:id="94" w:name="_Toc436758092"/>
      <w:r>
        <w:t xml:space="preserve"> </w:t>
      </w:r>
      <w:bookmarkStart w:id="95" w:name="_Toc436915616"/>
      <w:bookmarkStart w:id="96" w:name="_Toc436916057"/>
      <w:r w:rsidRPr="000A4766">
        <w:t>Methods</w:t>
      </w:r>
      <w:bookmarkEnd w:id="93"/>
      <w:bookmarkEnd w:id="94"/>
      <w:bookmarkEnd w:id="95"/>
      <w:bookmarkEnd w:id="96"/>
    </w:p>
    <w:p w:rsidR="003F789A" w:rsidRDefault="003F789A" w:rsidP="005345AE">
      <w:pPr>
        <w:pStyle w:val="ListParagraph"/>
        <w:spacing w:after="200"/>
        <w:ind w:left="0"/>
        <w:rPr>
          <w:rFonts w:ascii="Arial" w:hAnsi="Arial"/>
          <w:b/>
          <w:sz w:val="20"/>
        </w:rPr>
      </w:pPr>
      <w:r w:rsidRPr="006D566F">
        <w:rPr>
          <w:rFonts w:ascii="Arial" w:hAnsi="Arial"/>
          <w:b/>
          <w:sz w:val="20"/>
        </w:rPr>
        <w:t>Data collection</w:t>
      </w:r>
    </w:p>
    <w:p w:rsidR="003F789A" w:rsidRPr="006D566F" w:rsidRDefault="003F789A" w:rsidP="005345AE">
      <w:pPr>
        <w:pStyle w:val="ListParagraph"/>
        <w:spacing w:after="200"/>
        <w:ind w:left="0"/>
        <w:rPr>
          <w:rFonts w:ascii="Arial" w:hAnsi="Arial"/>
          <w:b/>
          <w:sz w:val="20"/>
        </w:rPr>
      </w:pPr>
    </w:p>
    <w:p w:rsidR="003F789A" w:rsidRPr="006D566F" w:rsidRDefault="003F789A" w:rsidP="006D566F">
      <w:pPr>
        <w:pStyle w:val="ListParagraph"/>
        <w:numPr>
          <w:ilvl w:val="2"/>
          <w:numId w:val="30"/>
        </w:numPr>
        <w:ind w:left="283" w:hanging="181"/>
        <w:rPr>
          <w:rFonts w:ascii="Arial" w:hAnsi="Arial"/>
          <w:b/>
          <w:i/>
          <w:sz w:val="20"/>
        </w:rPr>
      </w:pPr>
      <w:r w:rsidRPr="006D566F">
        <w:rPr>
          <w:rFonts w:ascii="Arial" w:hAnsi="Arial"/>
          <w:b/>
          <w:i/>
          <w:sz w:val="20"/>
        </w:rPr>
        <w:t>User survey</w:t>
      </w:r>
    </w:p>
    <w:p w:rsidR="003F789A" w:rsidRDefault="003F789A" w:rsidP="00A75D5D">
      <w:pPr>
        <w:spacing w:line="360" w:lineRule="auto"/>
        <w:rPr>
          <w:sz w:val="20"/>
          <w:lang w:val="en-US"/>
        </w:rPr>
      </w:pPr>
      <w:r w:rsidRPr="000A4766">
        <w:rPr>
          <w:sz w:val="20"/>
          <w:lang w:val="en-US"/>
        </w:rPr>
        <w:t xml:space="preserve">A user survey was conducted in the summer and fall of 2014. Tablet-based, on-site face-to-face visitor interviews were conducted over a 4-week period in June and July 2014. Respondents were randomly selected and approached on one of five car parks around the Regional Park before or after their trip (n=454).  Additionally, an online survey was available from August until October 2014 (n=109), the link to which was distributed widely among stakeholders of the Regional Park and through the project’s website and social media. In both surveys, we elicited actual use, preferences and values of </w:t>
      </w:r>
      <w:r>
        <w:rPr>
          <w:sz w:val="20"/>
          <w:lang w:val="en-US"/>
        </w:rPr>
        <w:t>ES</w:t>
      </w:r>
      <w:r w:rsidRPr="000A4766">
        <w:rPr>
          <w:sz w:val="20"/>
          <w:lang w:val="en-US"/>
        </w:rPr>
        <w:t>s of visitors to the Regional Park.</w:t>
      </w:r>
    </w:p>
    <w:p w:rsidR="003F789A" w:rsidRPr="000A4766" w:rsidRDefault="003F789A" w:rsidP="00A75D5D">
      <w:pPr>
        <w:spacing w:line="360" w:lineRule="auto"/>
        <w:rPr>
          <w:sz w:val="20"/>
          <w:lang w:val="en-US"/>
        </w:rPr>
      </w:pPr>
    </w:p>
    <w:p w:rsidR="003F789A" w:rsidRPr="006D566F" w:rsidRDefault="003F789A" w:rsidP="006D566F">
      <w:pPr>
        <w:pStyle w:val="ListParagraph"/>
        <w:numPr>
          <w:ilvl w:val="2"/>
          <w:numId w:val="30"/>
        </w:numPr>
        <w:ind w:left="283" w:hanging="283"/>
        <w:rPr>
          <w:rFonts w:ascii="Arial" w:hAnsi="Arial"/>
          <w:b/>
          <w:i/>
          <w:sz w:val="20"/>
        </w:rPr>
      </w:pPr>
      <w:r w:rsidRPr="006D566F">
        <w:rPr>
          <w:rFonts w:ascii="Arial" w:hAnsi="Arial"/>
          <w:b/>
          <w:i/>
          <w:sz w:val="20"/>
        </w:rPr>
        <w:t>Questionnaire and selection of ESs</w:t>
      </w:r>
    </w:p>
    <w:p w:rsidR="003F789A" w:rsidRDefault="003F789A" w:rsidP="00A75D5D">
      <w:pPr>
        <w:spacing w:line="360" w:lineRule="auto"/>
        <w:rPr>
          <w:sz w:val="20"/>
          <w:lang w:val="en-US"/>
        </w:rPr>
      </w:pPr>
      <w:r w:rsidRPr="000A4766">
        <w:rPr>
          <w:sz w:val="20"/>
          <w:lang w:val="en-US"/>
        </w:rPr>
        <w:t xml:space="preserve">The clarity and suitability of the questionnaire was pre-tested on-site in February 2014. The final questionnaire (see Appendix A) consisted of four sections: The first section derives general information of the users, the motivation of their visit, activities they took part in and general attitudes toward the management of the Regional Park. The second section assesses non-monetary values that the </w:t>
      </w:r>
      <w:proofErr w:type="spellStart"/>
      <w:r w:rsidRPr="000A4766">
        <w:rPr>
          <w:sz w:val="20"/>
          <w:lang w:val="en-US"/>
        </w:rPr>
        <w:t>Pentland</w:t>
      </w:r>
      <w:proofErr w:type="spellEnd"/>
      <w:r w:rsidRPr="000A4766">
        <w:rPr>
          <w:sz w:val="20"/>
          <w:lang w:val="en-US"/>
        </w:rPr>
        <w:t xml:space="preserve"> Hills generate via rating and weighting techniques. The third section asks the respondents to interactively choose a future landscape management scenario for the </w:t>
      </w:r>
      <w:proofErr w:type="spellStart"/>
      <w:r w:rsidRPr="000A4766">
        <w:rPr>
          <w:sz w:val="20"/>
          <w:lang w:val="en-US"/>
        </w:rPr>
        <w:t>Pentland</w:t>
      </w:r>
      <w:proofErr w:type="spellEnd"/>
      <w:r w:rsidRPr="000A4766">
        <w:rPr>
          <w:sz w:val="20"/>
          <w:lang w:val="en-US"/>
        </w:rPr>
        <w:t xml:space="preserve"> Hills reflecting their personal preferences. Demographic information of the respondents was derived in a last section.</w:t>
      </w:r>
    </w:p>
    <w:p w:rsidR="003F789A" w:rsidRPr="000A4766" w:rsidRDefault="003F789A" w:rsidP="00A75D5D">
      <w:pPr>
        <w:spacing w:line="360" w:lineRule="auto"/>
        <w:rPr>
          <w:sz w:val="20"/>
          <w:lang w:val="en-US"/>
        </w:rPr>
      </w:pPr>
    </w:p>
    <w:p w:rsidR="003F789A" w:rsidRPr="000A4766" w:rsidRDefault="003F789A" w:rsidP="00A75D5D">
      <w:pPr>
        <w:spacing w:line="360" w:lineRule="auto"/>
        <w:rPr>
          <w:sz w:val="20"/>
          <w:lang w:val="en-US"/>
        </w:rPr>
      </w:pPr>
      <w:r w:rsidRPr="000A4766">
        <w:rPr>
          <w:sz w:val="20"/>
          <w:lang w:val="en-US"/>
        </w:rPr>
        <w:t xml:space="preserve">The questions in the first part were to a large part based on questions that were initially retrieved in the </w:t>
      </w:r>
      <w:proofErr w:type="spellStart"/>
      <w:r w:rsidRPr="000A4766">
        <w:rPr>
          <w:sz w:val="20"/>
          <w:lang w:val="en-US"/>
        </w:rPr>
        <w:t>Pentland</w:t>
      </w:r>
      <w:proofErr w:type="spellEnd"/>
      <w:r w:rsidRPr="000A4766">
        <w:rPr>
          <w:sz w:val="20"/>
          <w:lang w:val="en-US"/>
        </w:rPr>
        <w:t xml:space="preserve"> Hills Regional Park Visitor Survey 2006 which the Regional Park Management had expressed particular interest in up-dating. The list of </w:t>
      </w:r>
      <w:r>
        <w:rPr>
          <w:sz w:val="20"/>
          <w:lang w:val="en-US"/>
        </w:rPr>
        <w:t>ES</w:t>
      </w:r>
      <w:r w:rsidRPr="000A4766">
        <w:rPr>
          <w:sz w:val="20"/>
          <w:lang w:val="en-US"/>
        </w:rPr>
        <w:t xml:space="preserve">s was derived in cooperation with the </w:t>
      </w:r>
      <w:r w:rsidRPr="000A4766">
        <w:rPr>
          <w:sz w:val="20"/>
          <w:lang w:val="en-US"/>
        </w:rPr>
        <w:lastRenderedPageBreak/>
        <w:t xml:space="preserve">Regional Park Management and selected members of the Councils and includes the most important </w:t>
      </w:r>
      <w:r>
        <w:rPr>
          <w:sz w:val="20"/>
          <w:lang w:val="en-US"/>
        </w:rPr>
        <w:t>ES</w:t>
      </w:r>
      <w:r w:rsidRPr="000A4766">
        <w:rPr>
          <w:sz w:val="20"/>
          <w:lang w:val="en-US"/>
        </w:rPr>
        <w:t xml:space="preserve">s provided by the Regional Park (Table 1). </w:t>
      </w:r>
    </w:p>
    <w:p w:rsidR="003F789A" w:rsidRPr="005345AE" w:rsidRDefault="003F789A" w:rsidP="00C221AF">
      <w:pPr>
        <w:pStyle w:val="Caption"/>
        <w:keepNext/>
        <w:rPr>
          <w:sz w:val="18"/>
          <w:lang w:val="en-US"/>
        </w:rPr>
      </w:pPr>
      <w:r w:rsidRPr="005345AE">
        <w:rPr>
          <w:sz w:val="18"/>
          <w:lang w:val="en-US"/>
        </w:rPr>
        <w:t xml:space="preserve">Table. </w:t>
      </w:r>
      <w:r w:rsidRPr="005345AE">
        <w:rPr>
          <w:sz w:val="18"/>
          <w:lang w:val="en-US"/>
        </w:rPr>
        <w:fldChar w:fldCharType="begin"/>
      </w:r>
      <w:r w:rsidRPr="005345AE">
        <w:rPr>
          <w:sz w:val="18"/>
          <w:lang w:val="en-US"/>
        </w:rPr>
        <w:instrText xml:space="preserve"> SEQ Tab. \* ARABIC </w:instrText>
      </w:r>
      <w:r w:rsidRPr="005345AE">
        <w:rPr>
          <w:sz w:val="18"/>
          <w:lang w:val="en-US"/>
        </w:rPr>
        <w:fldChar w:fldCharType="separate"/>
      </w:r>
      <w:r>
        <w:rPr>
          <w:noProof/>
          <w:sz w:val="18"/>
          <w:lang w:val="en-US"/>
        </w:rPr>
        <w:t>1</w:t>
      </w:r>
      <w:r w:rsidRPr="005345AE">
        <w:rPr>
          <w:sz w:val="18"/>
          <w:lang w:val="en-US"/>
        </w:rPr>
        <w:fldChar w:fldCharType="end"/>
      </w:r>
      <w:r w:rsidRPr="005345AE">
        <w:rPr>
          <w:sz w:val="18"/>
          <w:lang w:val="en-US"/>
        </w:rPr>
        <w:t xml:space="preserve"> Ecosystem services according to CICES classes and associated benefits that were used in the user survey </w:t>
      </w:r>
    </w:p>
    <w:tbl>
      <w:tblPr>
        <w:tblW w:w="9180" w:type="dxa"/>
        <w:tblInd w:w="108" w:type="dxa"/>
        <w:tblBorders>
          <w:top w:val="single" w:sz="4" w:space="0" w:color="auto"/>
          <w:bottom w:val="single" w:sz="4" w:space="0" w:color="auto"/>
        </w:tblBorders>
        <w:tblLook w:val="00A0" w:firstRow="1" w:lastRow="0" w:firstColumn="1" w:lastColumn="0" w:noHBand="0" w:noVBand="0"/>
      </w:tblPr>
      <w:tblGrid>
        <w:gridCol w:w="4400"/>
        <w:gridCol w:w="2515"/>
        <w:gridCol w:w="2265"/>
      </w:tblGrid>
      <w:tr w:rsidR="003F789A" w:rsidRPr="005345AE" w:rsidTr="00A75D5D">
        <w:tc>
          <w:tcPr>
            <w:tcW w:w="4400" w:type="dxa"/>
            <w:tcBorders>
              <w:top w:val="single" w:sz="4" w:space="0" w:color="auto"/>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 xml:space="preserve">Ecosystem services </w:t>
            </w:r>
          </w:p>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(according to CICES class)</w:t>
            </w:r>
          </w:p>
        </w:tc>
        <w:tc>
          <w:tcPr>
            <w:tcW w:w="2515" w:type="dxa"/>
            <w:tcBorders>
              <w:top w:val="single" w:sz="4" w:space="0" w:color="auto"/>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Benefit it provides to users (visitors, landowners)</w:t>
            </w:r>
          </w:p>
        </w:tc>
        <w:tc>
          <w:tcPr>
            <w:tcW w:w="2265" w:type="dxa"/>
            <w:tcBorders>
              <w:top w:val="single" w:sz="4" w:space="0" w:color="auto"/>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Non-monetary valuation method</w:t>
            </w:r>
          </w:p>
        </w:tc>
      </w:tr>
      <w:tr w:rsidR="003F789A" w:rsidRPr="005345AE" w:rsidTr="00A75D5D">
        <w:tc>
          <w:tcPr>
            <w:tcW w:w="4400" w:type="dxa"/>
            <w:tcBorders>
              <w:top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Experiential use of plants, animals and land-/seascapes in different environmental settings</w:t>
            </w:r>
          </w:p>
        </w:tc>
        <w:tc>
          <w:tcPr>
            <w:tcW w:w="2515" w:type="dxa"/>
            <w:tcBorders>
              <w:top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 xml:space="preserve">It enables to experience nature by watching it </w:t>
            </w:r>
          </w:p>
        </w:tc>
        <w:tc>
          <w:tcPr>
            <w:tcW w:w="2265" w:type="dxa"/>
            <w:tcBorders>
              <w:top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Physical use of land-/seascapes in different environmental settings</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enables to use nature by biking, hiking, walking in it</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 landscape preferences</w:t>
            </w:r>
          </w:p>
        </w:tc>
      </w:tr>
      <w:tr w:rsidR="003F789A" w:rsidRPr="005345AE" w:rsidTr="00A75D5D">
        <w:tc>
          <w:tcPr>
            <w:tcW w:w="4400" w:type="dxa"/>
          </w:tcPr>
          <w:p w:rsidR="003F789A" w:rsidRPr="005345AE" w:rsidRDefault="003F789A" w:rsidP="00C221AF">
            <w:pPr>
              <w:keepNext/>
              <w:tabs>
                <w:tab w:val="left" w:pos="1761"/>
              </w:tabs>
              <w:spacing w:after="0" w:line="240" w:lineRule="auto"/>
              <w:rPr>
                <w:rFonts w:cs="Adobe Devanagari"/>
                <w:sz w:val="18"/>
                <w:szCs w:val="18"/>
                <w:lang w:val="en-US"/>
              </w:rPr>
            </w:pPr>
            <w:r w:rsidRPr="005345AE">
              <w:rPr>
                <w:rFonts w:cs="Adobe Devanagari"/>
                <w:sz w:val="18"/>
                <w:szCs w:val="18"/>
                <w:lang w:val="en-US"/>
              </w:rPr>
              <w:t>Educational</w:t>
            </w:r>
            <w:r w:rsidRPr="005345AE">
              <w:rPr>
                <w:rFonts w:cs="Adobe Devanagari"/>
                <w:sz w:val="18"/>
                <w:szCs w:val="18"/>
                <w:lang w:val="en-US"/>
              </w:rPr>
              <w:tab/>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enables to learn about and investigate the environment (education, research)</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Heritage, cultural</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holds places and things of natural and human history (landscape, farming traditions)</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Aesthetic</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provides inspiration and conveys a sense of place (aesthetics)</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 landscape preferences</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Provision of reared animals and their outputs</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provides agricultural products (food, wool)</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 landscape preferences</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Filtration/sequestration/storage/accumulation by micro-organisms, algae, plants, and animals</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cleans and renews air, water and soils</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w:t>
            </w:r>
          </w:p>
        </w:tc>
      </w:tr>
      <w:tr w:rsidR="003F789A" w:rsidRPr="005345AE" w:rsidTr="00A75D5D">
        <w:tc>
          <w:tcPr>
            <w:tcW w:w="4400"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Global climate regulation by reduction of greenhouse gas concentrations</w:t>
            </w:r>
          </w:p>
        </w:tc>
        <w:tc>
          <w:tcPr>
            <w:tcW w:w="251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regulates the climate as a carbon sink</w:t>
            </w:r>
          </w:p>
        </w:tc>
        <w:tc>
          <w:tcPr>
            <w:tcW w:w="2265" w:type="dxa"/>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 landscape preferences</w:t>
            </w:r>
          </w:p>
        </w:tc>
      </w:tr>
      <w:tr w:rsidR="003F789A" w:rsidRPr="005345AE" w:rsidTr="00A75D5D">
        <w:tc>
          <w:tcPr>
            <w:tcW w:w="4400" w:type="dxa"/>
            <w:tcBorders>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Maintaining nursery populations and habitats</w:t>
            </w:r>
          </w:p>
        </w:tc>
        <w:tc>
          <w:tcPr>
            <w:tcW w:w="2515" w:type="dxa"/>
            <w:tcBorders>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It provides habitat for wild plants and animals</w:t>
            </w:r>
          </w:p>
        </w:tc>
        <w:tc>
          <w:tcPr>
            <w:tcW w:w="2265" w:type="dxa"/>
            <w:tcBorders>
              <w:bottom w:val="single" w:sz="4" w:space="0" w:color="auto"/>
            </w:tcBorders>
          </w:tcPr>
          <w:p w:rsidR="003F789A" w:rsidRPr="005345AE" w:rsidRDefault="003F789A" w:rsidP="00C221AF">
            <w:pPr>
              <w:keepNext/>
              <w:spacing w:after="0" w:line="240" w:lineRule="auto"/>
              <w:rPr>
                <w:rFonts w:cs="Adobe Devanagari"/>
                <w:sz w:val="18"/>
                <w:szCs w:val="18"/>
                <w:lang w:val="en-US"/>
              </w:rPr>
            </w:pPr>
            <w:r w:rsidRPr="005345AE">
              <w:rPr>
                <w:rFonts w:cs="Adobe Devanagari"/>
                <w:sz w:val="18"/>
                <w:szCs w:val="18"/>
                <w:lang w:val="en-US"/>
              </w:rPr>
              <w:t>Rating, weighting, landscape preferences</w:t>
            </w:r>
          </w:p>
        </w:tc>
      </w:tr>
    </w:tbl>
    <w:p w:rsidR="003F789A" w:rsidRDefault="003F789A" w:rsidP="005345AE">
      <w:pPr>
        <w:tabs>
          <w:tab w:val="left" w:pos="5245"/>
        </w:tabs>
        <w:spacing w:line="360" w:lineRule="auto"/>
        <w:rPr>
          <w:sz w:val="18"/>
          <w:szCs w:val="18"/>
          <w:lang w:val="en-US"/>
        </w:rPr>
      </w:pPr>
      <w:r w:rsidRPr="005345AE">
        <w:rPr>
          <w:sz w:val="18"/>
          <w:szCs w:val="18"/>
          <w:lang w:val="en-US"/>
        </w:rPr>
        <w:t xml:space="preserve">   </w:t>
      </w:r>
    </w:p>
    <w:p w:rsidR="003F789A" w:rsidRPr="006D566F" w:rsidRDefault="003F789A" w:rsidP="005345AE">
      <w:pPr>
        <w:tabs>
          <w:tab w:val="left" w:pos="5245"/>
        </w:tabs>
        <w:spacing w:line="360" w:lineRule="auto"/>
        <w:rPr>
          <w:b/>
          <w:i/>
          <w:sz w:val="20"/>
        </w:rPr>
      </w:pPr>
      <w:r w:rsidRPr="006D566F">
        <w:rPr>
          <w:b/>
          <w:i/>
          <w:sz w:val="20"/>
          <w:lang w:val="en-US"/>
        </w:rPr>
        <w:t xml:space="preserve">iii </w:t>
      </w:r>
      <w:r w:rsidRPr="006D566F">
        <w:rPr>
          <w:b/>
          <w:i/>
          <w:sz w:val="20"/>
        </w:rPr>
        <w:t>Rating and weighting of ESs</w:t>
      </w:r>
    </w:p>
    <w:p w:rsidR="003F789A" w:rsidRPr="000A4766" w:rsidRDefault="003F789A" w:rsidP="00A75D5D">
      <w:pPr>
        <w:spacing w:line="360" w:lineRule="auto"/>
        <w:rPr>
          <w:sz w:val="20"/>
          <w:lang w:val="en-US"/>
        </w:rPr>
      </w:pPr>
      <w:r w:rsidRPr="000A4766">
        <w:rPr>
          <w:sz w:val="20"/>
          <w:lang w:val="en-US"/>
        </w:rPr>
        <w:t xml:space="preserve">Two non-monetary techniques were used for the valuation of ES and tested against the assessment of landscape preferences (see next part) in a user survey in the </w:t>
      </w:r>
      <w:proofErr w:type="spellStart"/>
      <w:r w:rsidRPr="000A4766">
        <w:rPr>
          <w:sz w:val="20"/>
          <w:lang w:val="en-US"/>
        </w:rPr>
        <w:t>Pentland</w:t>
      </w:r>
      <w:proofErr w:type="spellEnd"/>
      <w:r w:rsidRPr="000A4766">
        <w:rPr>
          <w:sz w:val="20"/>
          <w:lang w:val="en-US"/>
        </w:rPr>
        <w:t xml:space="preserve"> Hills Regional Park, namely rating and weighting. The importance that each respondent attributed to the 9 ES was first measured by a rating approach based on Likert’s </w:t>
      </w:r>
      <w:r w:rsidRPr="000A4766">
        <w:rPr>
          <w:sz w:val="20"/>
          <w:lang w:val="en-US"/>
        </w:rPr>
        <w:fldChar w:fldCharType="begin"/>
      </w:r>
      <w:r w:rsidRPr="000A4766">
        <w:rPr>
          <w:sz w:val="20"/>
          <w:lang w:val="en-US"/>
        </w:rPr>
        <w:instrText xml:space="preserve"> ADDIN EN.CITE &lt;EndNote&gt;&lt;Cite ExcludeAuth="1"&gt;&lt;Author&gt;Likert&lt;/Author&gt;&lt;Year&gt;1932&lt;/Year&gt;&lt;IDText&gt;A Technique for the Measurement of Attitudes&lt;/IDText&gt;&lt;DisplayText&gt;(1932)&lt;/DisplayText&gt;&lt;record&gt;&lt;titles&gt;&lt;title&gt;A Technique for the Measurement of Attitudes&lt;/title&gt;&lt;secondary-title&gt;Archives of Psychology&lt;/secondary-title&gt;&lt;/titles&gt;&lt;pages&gt;1-55&lt;/pages&gt;&lt;number&gt;140&lt;/number&gt;&lt;contributors&gt;&lt;authors&gt;&lt;author&gt;Likert, Rensis&lt;/author&gt;&lt;/authors&gt;&lt;/contributors&gt;&lt;added-date format="utc"&gt;1447694173&lt;/added-date&gt;&lt;ref-type name="Journal Article"&gt;17&lt;/ref-type&gt;&lt;dates&gt;&lt;year&gt;1932&lt;/year&gt;&lt;/dates&gt;&lt;rec-number&gt;4140&lt;/rec-number&gt;&lt;last-updated-date format="utc"&gt;1447694344&lt;/last-updated-date&gt;&lt;volume&gt;22&lt;/volume&gt;&lt;/record&gt;&lt;/Cite&gt;&lt;/EndNote&gt;</w:instrText>
      </w:r>
      <w:r w:rsidRPr="000A4766">
        <w:rPr>
          <w:sz w:val="20"/>
          <w:lang w:val="en-US"/>
        </w:rPr>
        <w:fldChar w:fldCharType="separate"/>
      </w:r>
      <w:r w:rsidRPr="000A4766">
        <w:rPr>
          <w:noProof/>
          <w:sz w:val="20"/>
          <w:lang w:val="en-US"/>
        </w:rPr>
        <w:t>(1932)</w:t>
      </w:r>
      <w:r w:rsidRPr="000A4766">
        <w:rPr>
          <w:sz w:val="20"/>
          <w:lang w:val="en-US"/>
        </w:rPr>
        <w:fldChar w:fldCharType="end"/>
      </w:r>
      <w:r w:rsidRPr="000A4766">
        <w:rPr>
          <w:sz w:val="20"/>
          <w:lang w:val="en-US"/>
        </w:rPr>
        <w:t xml:space="preserve"> measurement of attitudes, using a five-point scale, where 1= not important at all, 2= not very important, 3= of medium importance, 4= quite important, and 5=very important. Likert scales are a common tool for the assessment and rating of stakeholder values and attitudes in environmental research </w:t>
      </w:r>
      <w:r w:rsidRPr="000A4766">
        <w:rPr>
          <w:sz w:val="20"/>
          <w:lang w:val="en-US"/>
        </w:rPr>
        <w:fldChar w:fldCharType="begin">
          <w:fldData xml:space="preserve">PEVuZE5vdGU+PENpdGU+PEF1dGhvcj5QZXRyb3NpbGxvPC9BdXRob3I+PFllYXI+MjAwNzwvWWVh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==
</w:fldData>
        </w:fldChar>
      </w:r>
      <w:r w:rsidRPr="000A4766">
        <w:rPr>
          <w:sz w:val="20"/>
          <w:lang w:val="en-US"/>
        </w:rPr>
        <w:instrText xml:space="preserve"> ADDIN EN.CITE </w:instrText>
      </w:r>
      <w:r w:rsidRPr="000A4766">
        <w:rPr>
          <w:sz w:val="20"/>
          <w:lang w:val="en-US"/>
        </w:rPr>
        <w:fldChar w:fldCharType="begin">
          <w:fldData xml:space="preserve">PEVuZE5vdGU+PENpdGU+PEF1dGhvcj5QZXRyb3NpbGxvPC9BdXRob3I+PFllYXI+MjAwNzwvWWVh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==
</w:fldData>
        </w:fldChar>
      </w:r>
      <w:r w:rsidRPr="000A4766">
        <w:rPr>
          <w:sz w:val="20"/>
          <w:lang w:val="en-US"/>
        </w:rPr>
        <w:instrText xml:space="preserve"> ADDIN EN.CITE.DATA </w:instrText>
      </w:r>
      <w:r w:rsidRPr="000A4766">
        <w:rPr>
          <w:sz w:val="20"/>
          <w:lang w:val="en-US"/>
        </w:rPr>
      </w:r>
      <w:r w:rsidRPr="000A4766">
        <w:rPr>
          <w:sz w:val="20"/>
          <w:lang w:val="en-US"/>
        </w:rPr>
        <w:fldChar w:fldCharType="end"/>
      </w:r>
      <w:r w:rsidRPr="000A4766">
        <w:rPr>
          <w:sz w:val="20"/>
          <w:lang w:val="en-US"/>
        </w:rPr>
      </w:r>
      <w:r w:rsidRPr="000A4766">
        <w:rPr>
          <w:sz w:val="20"/>
          <w:lang w:val="en-US"/>
        </w:rPr>
        <w:fldChar w:fldCharType="separate"/>
      </w:r>
      <w:r w:rsidRPr="000A4766">
        <w:rPr>
          <w:noProof/>
          <w:sz w:val="20"/>
          <w:lang w:val="en-US"/>
        </w:rPr>
        <w:t>(Calvet-Mir et al., 2012; de Chazal et al., 2008; Petrosillo et al., 2007; Ruiz-Frau et al., 2013)</w:t>
      </w:r>
      <w:r w:rsidRPr="000A4766">
        <w:rPr>
          <w:sz w:val="20"/>
          <w:lang w:val="en-US"/>
        </w:rPr>
        <w:fldChar w:fldCharType="end"/>
      </w:r>
      <w:r w:rsidRPr="000A4766">
        <w:rPr>
          <w:sz w:val="20"/>
          <w:lang w:val="en-US"/>
        </w:rPr>
        <w:t xml:space="preserve">.    </w:t>
      </w:r>
    </w:p>
    <w:p w:rsidR="003F789A" w:rsidRDefault="003F789A" w:rsidP="00A75D5D">
      <w:pPr>
        <w:spacing w:line="360" w:lineRule="auto"/>
        <w:rPr>
          <w:sz w:val="20"/>
          <w:lang w:val="en-US"/>
        </w:rPr>
      </w:pPr>
    </w:p>
    <w:p w:rsidR="003F789A" w:rsidRPr="000A4766" w:rsidRDefault="003F789A" w:rsidP="00A75D5D">
      <w:pPr>
        <w:spacing w:line="360" w:lineRule="auto"/>
        <w:rPr>
          <w:sz w:val="20"/>
          <w:lang w:val="en-US"/>
        </w:rPr>
      </w:pPr>
      <w:r w:rsidRPr="000A4766">
        <w:rPr>
          <w:sz w:val="20"/>
          <w:lang w:val="en-US"/>
        </w:rPr>
        <w:t xml:space="preserve">In a second step, based on a study by Brown and Reed </w:t>
      </w:r>
      <w:r w:rsidRPr="000A4766">
        <w:rPr>
          <w:sz w:val="20"/>
          <w:lang w:val="en-US"/>
        </w:rPr>
        <w:fldChar w:fldCharType="begin"/>
      </w:r>
      <w:r w:rsidRPr="000A4766">
        <w:rPr>
          <w:sz w:val="20"/>
          <w:lang w:val="en-US"/>
        </w:rPr>
        <w:instrText xml:space="preserve"> ADDIN EN.CITE &lt;EndNote&gt;&lt;Cite ExcludeAuth="1"&gt;&lt;Author&gt;Brown&lt;/Author&gt;&lt;Year&gt;2000&lt;/Year&gt;&lt;IDText&gt;Validation of a forest values typology for use in national forest planning&lt;/IDText&gt;&lt;DisplayText&gt;(2000)&lt;/DisplayText&gt;&lt;record&gt;&lt;dates&gt;&lt;pub-dates&gt;&lt;date&gt;May&lt;/date&gt;&lt;/pub-dates&gt;&lt;year&gt;2000&lt;/year&gt;&lt;/dates&gt;&lt;urls&gt;&lt;related-urls&gt;&lt;url&gt;&amp;lt;Go to ISI&amp;gt;://WOS:000169003700008&lt;/url&gt;&lt;/related-urls&gt;&lt;/urls&gt;&lt;isbn&gt;0015-749X&lt;/isbn&gt;&lt;titles&gt;&lt;title&gt;Validation of a forest values typology for use in national forest planning&lt;/title&gt;&lt;secondary-title&gt;Forest Science&lt;/secondary-title&gt;&lt;/titles&gt;&lt;pages&gt;240-247&lt;/pages&gt;&lt;number&gt;2&lt;/number&gt;&lt;contributors&gt;&lt;authors&gt;&lt;author&gt;Brown, G.&lt;/author&gt;&lt;author&gt;Reed, P.&lt;/author&gt;&lt;/authors&gt;&lt;/contributors&gt;&lt;added-date format="utc"&gt;1438008682&lt;/added-date&gt;&lt;ref-type name="Journal Article"&gt;17&lt;/ref-type&gt;&lt;rec-number&gt;3667&lt;/rec-number&gt;&lt;last-updated-date format="utc"&gt;1438008682&lt;/last-updated-date&gt;&lt;accession-num&gt;WOS:000169003700008&lt;/accession-num&gt;&lt;volume&gt;46&lt;/volume&gt;&lt;/record&gt;&lt;/Cite&gt;&lt;/EndNote&gt;</w:instrText>
      </w:r>
      <w:r w:rsidRPr="000A4766">
        <w:rPr>
          <w:sz w:val="20"/>
          <w:lang w:val="en-US"/>
        </w:rPr>
        <w:fldChar w:fldCharType="separate"/>
      </w:r>
      <w:r w:rsidRPr="000A4766">
        <w:rPr>
          <w:noProof/>
          <w:sz w:val="20"/>
          <w:lang w:val="en-US"/>
        </w:rPr>
        <w:t>(2000)</w:t>
      </w:r>
      <w:r w:rsidRPr="000A4766">
        <w:rPr>
          <w:sz w:val="20"/>
          <w:lang w:val="en-US"/>
        </w:rPr>
        <w:fldChar w:fldCharType="end"/>
      </w:r>
      <w:r w:rsidRPr="000A4766">
        <w:rPr>
          <w:sz w:val="20"/>
          <w:lang w:val="en-US"/>
        </w:rPr>
        <w:t xml:space="preserve">, respondents were asked to weight these </w:t>
      </w:r>
      <w:r>
        <w:rPr>
          <w:sz w:val="20"/>
          <w:lang w:val="en-US"/>
        </w:rPr>
        <w:t>ES</w:t>
      </w:r>
      <w:r w:rsidRPr="000A4766">
        <w:rPr>
          <w:sz w:val="20"/>
          <w:lang w:val="en-US"/>
        </w:rPr>
        <w:t xml:space="preserve">s by allocating a total of 100 points across the listed ES. Respondents were free to distribute the points according to their preferences, allowing them to distribute points evenly or in </w:t>
      </w:r>
      <w:proofErr w:type="spellStart"/>
      <w:r w:rsidRPr="000A4766">
        <w:rPr>
          <w:sz w:val="20"/>
          <w:lang w:val="en-US"/>
        </w:rPr>
        <w:t>favour</w:t>
      </w:r>
      <w:proofErr w:type="spellEnd"/>
      <w:r w:rsidRPr="000A4766">
        <w:rPr>
          <w:sz w:val="20"/>
          <w:lang w:val="en-US"/>
        </w:rPr>
        <w:t xml:space="preserve"> of only a few or even one ES.</w:t>
      </w:r>
    </w:p>
    <w:p w:rsidR="003F789A" w:rsidRPr="000A4766" w:rsidRDefault="003F789A" w:rsidP="00A75D5D">
      <w:pPr>
        <w:pStyle w:val="ListParagraph"/>
        <w:rPr>
          <w:rFonts w:ascii="Arial" w:hAnsi="Arial"/>
          <w:sz w:val="20"/>
        </w:rPr>
      </w:pPr>
    </w:p>
    <w:p w:rsidR="003F789A" w:rsidRPr="006D566F" w:rsidRDefault="003F789A" w:rsidP="006D566F">
      <w:pPr>
        <w:pStyle w:val="ListParagraph"/>
        <w:numPr>
          <w:ilvl w:val="2"/>
          <w:numId w:val="30"/>
        </w:numPr>
        <w:ind w:left="425" w:hanging="181"/>
        <w:rPr>
          <w:rFonts w:ascii="Arial" w:hAnsi="Arial"/>
          <w:b/>
          <w:i/>
          <w:sz w:val="20"/>
        </w:rPr>
      </w:pPr>
      <w:r w:rsidRPr="006D566F">
        <w:rPr>
          <w:rFonts w:ascii="Arial" w:hAnsi="Arial"/>
          <w:b/>
          <w:i/>
          <w:sz w:val="20"/>
        </w:rPr>
        <w:t>Landscape preferences based on trade-offs</w:t>
      </w:r>
    </w:p>
    <w:p w:rsidR="003F789A" w:rsidRDefault="003F789A" w:rsidP="00A75D5D">
      <w:pPr>
        <w:spacing w:line="360" w:lineRule="auto"/>
        <w:rPr>
          <w:sz w:val="20"/>
          <w:lang w:val="en-US"/>
        </w:rPr>
      </w:pPr>
      <w:r w:rsidRPr="000A4766">
        <w:rPr>
          <w:sz w:val="20"/>
          <w:lang w:val="en-US"/>
        </w:rPr>
        <w:t xml:space="preserve">In a novel approach for measuring the importance of ES, respondents were asked to adjust a virtual landscape indicating their preferences of actual and discussed land uses in the </w:t>
      </w:r>
      <w:proofErr w:type="spellStart"/>
      <w:r w:rsidRPr="000A4766">
        <w:rPr>
          <w:sz w:val="20"/>
          <w:lang w:val="en-US"/>
        </w:rPr>
        <w:t>Pentland</w:t>
      </w:r>
      <w:proofErr w:type="spellEnd"/>
      <w:r w:rsidRPr="000A4766">
        <w:rPr>
          <w:sz w:val="20"/>
          <w:lang w:val="en-US"/>
        </w:rPr>
        <w:t xml:space="preserve"> Hills, namely </w:t>
      </w:r>
      <w:r w:rsidRPr="000A4766">
        <w:rPr>
          <w:sz w:val="20"/>
          <w:lang w:val="en-US"/>
        </w:rPr>
        <w:lastRenderedPageBreak/>
        <w:t>food provisioning, habitat for wild plants and trees, habitat for wild animals, wind farming, climate regulation (interlinked with habitat for wild plants), and recreation (Fig. 1), while being confronted with trade-offs of these land uses. Respondents were asked to rate their preferred scenario on a scale from 0-5 the level of personal inspiration each landscape could potentially provide.</w:t>
      </w:r>
    </w:p>
    <w:p w:rsidR="003F789A" w:rsidRPr="000A4766" w:rsidRDefault="003F789A" w:rsidP="00A75D5D">
      <w:pPr>
        <w:spacing w:line="360" w:lineRule="auto"/>
        <w:rPr>
          <w:sz w:val="20"/>
          <w:lang w:val="en-US"/>
        </w:rPr>
      </w:pPr>
    </w:p>
    <w:p w:rsidR="003F789A" w:rsidRDefault="003F789A" w:rsidP="00A75D5D">
      <w:pPr>
        <w:spacing w:line="360" w:lineRule="auto"/>
        <w:rPr>
          <w:sz w:val="20"/>
          <w:lang w:val="en-US"/>
        </w:rPr>
      </w:pPr>
      <w:r w:rsidRPr="000A4766">
        <w:rPr>
          <w:sz w:val="20"/>
          <w:lang w:val="en-US"/>
        </w:rPr>
        <w:t xml:space="preserve">By introducing trade-offs, we aim to derive a more nuanced picture of what ES respondents are willing to give up for the attainment of their preferences.  Trade-offs were based on algorithms, indicating the potential impact of each land use on other land uses based on current research findings and guidelines of practice. As we aimed to depict tangible trade-offs for very complex biophysical relationships, we simplified the context and scientific information. For instance, we assume a linear dependency between woodland expansion and carbon sequestration in our trade-off scenario, forgoing the complex analysis of soil organic matter. </w:t>
      </w:r>
    </w:p>
    <w:p w:rsidR="003F789A" w:rsidRPr="000A4766" w:rsidRDefault="003F789A" w:rsidP="00A75D5D">
      <w:pPr>
        <w:spacing w:line="360" w:lineRule="auto"/>
        <w:rPr>
          <w:sz w:val="20"/>
          <w:lang w:val="en-US"/>
        </w:rPr>
      </w:pPr>
    </w:p>
    <w:p w:rsidR="003F789A" w:rsidRPr="000A4766" w:rsidRDefault="008C4819" w:rsidP="00A75D5D">
      <w:pPr>
        <w:keepNext/>
        <w:spacing w:line="360" w:lineRule="auto"/>
        <w:rPr>
          <w:sz w:val="20"/>
          <w:lang w:val="en-US"/>
        </w:rPr>
      </w:pPr>
      <w:r>
        <w:rPr>
          <w:noProof/>
          <w:sz w:val="20"/>
          <w:lang w:val="en-IE" w:eastAsia="en-IE"/>
        </w:rPr>
        <w:drawing>
          <wp:inline distT="0" distB="0" distL="0" distR="0">
            <wp:extent cx="6177915" cy="1304925"/>
            <wp:effectExtent l="0" t="0" r="0" b="9525"/>
            <wp:docPr id="3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3">
                      <a:extLst>
                        <a:ext uri="{28A0092B-C50C-407E-A947-70E740481C1C}">
                          <a14:useLocalDpi xmlns:a14="http://schemas.microsoft.com/office/drawing/2010/main" val="0"/>
                        </a:ext>
                      </a:extLst>
                    </a:blip>
                    <a:srcRect b="48584"/>
                    <a:stretch>
                      <a:fillRect/>
                    </a:stretch>
                  </pic:blipFill>
                  <pic:spPr bwMode="auto">
                    <a:xfrm>
                      <a:off x="0" y="0"/>
                      <a:ext cx="6177915" cy="1304925"/>
                    </a:xfrm>
                    <a:prstGeom prst="rect">
                      <a:avLst/>
                    </a:prstGeom>
                    <a:noFill/>
                    <a:ln>
                      <a:noFill/>
                    </a:ln>
                  </pic:spPr>
                </pic:pic>
              </a:graphicData>
            </a:graphic>
          </wp:inline>
        </w:drawing>
      </w:r>
      <w:r>
        <w:rPr>
          <w:noProof/>
          <w:sz w:val="20"/>
          <w:lang w:val="en-IE" w:eastAsia="en-IE"/>
        </w:rPr>
        <w:drawing>
          <wp:inline distT="0" distB="0" distL="0" distR="0">
            <wp:extent cx="6266815" cy="1383030"/>
            <wp:effectExtent l="0" t="0" r="635" b="7620"/>
            <wp:docPr id="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4">
                      <a:extLst>
                        <a:ext uri="{28A0092B-C50C-407E-A947-70E740481C1C}">
                          <a14:useLocalDpi xmlns:a14="http://schemas.microsoft.com/office/drawing/2010/main" val="0"/>
                        </a:ext>
                      </a:extLst>
                    </a:blip>
                    <a:srcRect b="48834"/>
                    <a:stretch>
                      <a:fillRect/>
                    </a:stretch>
                  </pic:blipFill>
                  <pic:spPr bwMode="auto">
                    <a:xfrm>
                      <a:off x="0" y="0"/>
                      <a:ext cx="6266815" cy="1383030"/>
                    </a:xfrm>
                    <a:prstGeom prst="rect">
                      <a:avLst/>
                    </a:prstGeom>
                    <a:noFill/>
                    <a:ln>
                      <a:noFill/>
                    </a:ln>
                  </pic:spPr>
                </pic:pic>
              </a:graphicData>
            </a:graphic>
          </wp:inline>
        </w:drawing>
      </w:r>
    </w:p>
    <w:p w:rsidR="003F789A" w:rsidRDefault="003F789A" w:rsidP="005345AE">
      <w:pPr>
        <w:pStyle w:val="Caption"/>
        <w:rPr>
          <w:sz w:val="18"/>
          <w:szCs w:val="18"/>
          <w:lang w:val="en-US"/>
        </w:rPr>
      </w:pPr>
      <w:r w:rsidRPr="005345AE">
        <w:rPr>
          <w:sz w:val="18"/>
          <w:szCs w:val="18"/>
          <w:lang w:val="en-US"/>
        </w:rPr>
        <w:t xml:space="preserve">Fig. </w:t>
      </w:r>
      <w:r w:rsidRPr="005345AE">
        <w:rPr>
          <w:sz w:val="18"/>
          <w:szCs w:val="18"/>
          <w:lang w:val="en-US"/>
        </w:rPr>
        <w:fldChar w:fldCharType="begin"/>
      </w:r>
      <w:r w:rsidRPr="005345AE">
        <w:rPr>
          <w:sz w:val="18"/>
          <w:szCs w:val="18"/>
          <w:lang w:val="en-US"/>
        </w:rPr>
        <w:instrText xml:space="preserve"> SEQ Fig. \* ARABIC </w:instrText>
      </w:r>
      <w:r w:rsidRPr="005345AE">
        <w:rPr>
          <w:sz w:val="18"/>
          <w:szCs w:val="18"/>
          <w:lang w:val="en-US"/>
        </w:rPr>
        <w:fldChar w:fldCharType="separate"/>
      </w:r>
      <w:r>
        <w:rPr>
          <w:noProof/>
          <w:sz w:val="18"/>
          <w:szCs w:val="18"/>
          <w:lang w:val="en-US"/>
        </w:rPr>
        <w:t>1</w:t>
      </w:r>
      <w:r w:rsidRPr="005345AE">
        <w:rPr>
          <w:sz w:val="18"/>
          <w:szCs w:val="18"/>
          <w:lang w:val="en-US"/>
        </w:rPr>
        <w:fldChar w:fldCharType="end"/>
      </w:r>
      <w:r w:rsidRPr="005345AE">
        <w:rPr>
          <w:sz w:val="18"/>
          <w:szCs w:val="18"/>
          <w:lang w:val="en-US"/>
        </w:rPr>
        <w:t xml:space="preserve"> Virtual trade-off based landscape management preferences; top shows original screen presented to respondents before preferences were logged, bottom shows a hypothetical scenario of preferences with strong focus on habitat for wild animals (birds)</w:t>
      </w:r>
    </w:p>
    <w:p w:rsidR="003F789A" w:rsidRPr="00C93D2F" w:rsidRDefault="003F789A" w:rsidP="00C93D2F">
      <w:pPr>
        <w:rPr>
          <w:lang w:val="en-US"/>
        </w:rPr>
      </w:pPr>
    </w:p>
    <w:p w:rsidR="003F789A" w:rsidRPr="006D566F" w:rsidRDefault="003F789A" w:rsidP="006D566F">
      <w:pPr>
        <w:pStyle w:val="ListParagraph"/>
        <w:spacing w:after="200"/>
        <w:ind w:left="0"/>
        <w:rPr>
          <w:rFonts w:ascii="Arial" w:hAnsi="Arial"/>
          <w:b/>
          <w:sz w:val="20"/>
        </w:rPr>
      </w:pPr>
      <w:r w:rsidRPr="006D566F">
        <w:rPr>
          <w:rFonts w:ascii="Arial" w:hAnsi="Arial"/>
          <w:b/>
          <w:sz w:val="20"/>
        </w:rPr>
        <w:t>Data analysis</w:t>
      </w:r>
    </w:p>
    <w:p w:rsidR="003F789A" w:rsidRDefault="003F789A" w:rsidP="00A75D5D">
      <w:pPr>
        <w:spacing w:line="360" w:lineRule="auto"/>
        <w:rPr>
          <w:sz w:val="20"/>
          <w:lang w:val="en-US"/>
        </w:rPr>
      </w:pPr>
      <w:r w:rsidRPr="000A4766">
        <w:rPr>
          <w:sz w:val="20"/>
          <w:lang w:val="en-US"/>
        </w:rPr>
        <w:t xml:space="preserve">To explore the valuation data, a series of statistical analyses was performed. First, respondents were clustered into groups with similar landscape preferences. For these clusters, we performed basic descriptive statistics on the rating and weighting data as well as non-parametric methods to test for differences among clusters. </w:t>
      </w:r>
    </w:p>
    <w:p w:rsidR="003F789A" w:rsidRPr="000A4766" w:rsidRDefault="003F789A" w:rsidP="00A75D5D">
      <w:pPr>
        <w:spacing w:line="360" w:lineRule="auto"/>
        <w:rPr>
          <w:sz w:val="20"/>
          <w:lang w:val="en-US"/>
        </w:rPr>
      </w:pPr>
    </w:p>
    <w:p w:rsidR="003F789A" w:rsidRPr="006D566F" w:rsidRDefault="003F789A" w:rsidP="006D566F">
      <w:pPr>
        <w:pStyle w:val="ListParagraph"/>
        <w:numPr>
          <w:ilvl w:val="0"/>
          <w:numId w:val="36"/>
        </w:numPr>
        <w:ind w:left="714" w:hanging="714"/>
        <w:rPr>
          <w:rFonts w:ascii="Arial" w:hAnsi="Arial"/>
          <w:b/>
          <w:i/>
          <w:sz w:val="20"/>
        </w:rPr>
      </w:pPr>
      <w:r w:rsidRPr="006D566F">
        <w:rPr>
          <w:rFonts w:ascii="Arial" w:hAnsi="Arial"/>
          <w:b/>
          <w:i/>
          <w:sz w:val="20"/>
        </w:rPr>
        <w:t>Cluster Analysis for landscape preferences</w:t>
      </w:r>
    </w:p>
    <w:p w:rsidR="003F789A" w:rsidRDefault="003F789A" w:rsidP="00A75D5D">
      <w:pPr>
        <w:spacing w:line="360" w:lineRule="auto"/>
        <w:rPr>
          <w:sz w:val="20"/>
          <w:lang w:val="en-US"/>
        </w:rPr>
      </w:pPr>
      <w:r w:rsidRPr="000A4766">
        <w:rPr>
          <w:sz w:val="20"/>
          <w:lang w:val="en-US"/>
        </w:rPr>
        <w:lastRenderedPageBreak/>
        <w:t xml:space="preserve">As a first step in the data analysis, we performed Hierarchical Cluster Analysis (HCA) in order to identify </w:t>
      </w:r>
      <w:r>
        <w:rPr>
          <w:sz w:val="20"/>
          <w:lang w:val="en-US"/>
        </w:rPr>
        <w:t xml:space="preserve">discernable </w:t>
      </w:r>
      <w:r w:rsidRPr="000A4766">
        <w:rPr>
          <w:sz w:val="20"/>
          <w:lang w:val="en-US"/>
        </w:rPr>
        <w:t xml:space="preserve">groups of users according to their landscape preferences. We used Bray-Curtis dissimilarity index and Ward’s linkage technique as agglomerative method to identify respondent groups with similar landscape preferences in the HCA </w:t>
      </w:r>
      <w:r w:rsidRPr="000A4766">
        <w:rPr>
          <w:sz w:val="20"/>
          <w:lang w:val="en-US"/>
        </w:rPr>
        <w:fldChar w:fldCharType="begin"/>
      </w:r>
      <w:r w:rsidRPr="000A4766">
        <w:rPr>
          <w:sz w:val="20"/>
          <w:lang w:val="en-US"/>
        </w:rPr>
        <w:instrText xml:space="preserve"> ADDIN EN.CITE &lt;EndNote&gt;&lt;Cite&gt;&lt;Author&gt;Ward&lt;/Author&gt;&lt;Year&gt;1963&lt;/Year&gt;&lt;IDText&gt;Hierarchical Grouping to Optimize an Objective Function&lt;/IDText&gt;&lt;DisplayText&gt;(Bray and Curtis, 1957; Ward, 1963)&lt;/DisplayText&gt;&lt;record&gt;&lt;dates&gt;&lt;pub-dates&gt;&lt;date&gt;1963/03/01&lt;/date&gt;&lt;/pub-dates&gt;&lt;year&gt;1963&lt;/year&gt;&lt;/dates&gt;&lt;urls&gt;&lt;related-urls&gt;&lt;url&gt;http://www.tandfonline.com/doi/abs/10.1080/01621459.1963.10500845&lt;/url&gt;&lt;/related-urls&gt;&lt;/urls&gt;&lt;isbn&gt;0162-1459&lt;/isbn&gt;&lt;titles&gt;&lt;title&gt;Hierarchical Grouping to Optimize an Objective Function&lt;/title&gt;&lt;secondary-title&gt;Journal of the American Statistical Association&lt;/secondary-title&gt;&lt;/titles&gt;&lt;pages&gt;236-244&lt;/pages&gt;&lt;number&gt;301&lt;/number&gt;&lt;contributors&gt;&lt;authors&gt;&lt;author&gt;Ward, Joe H.&lt;/author&gt;&lt;/authors&gt;&lt;/contributors&gt;&lt;added-date format="utc"&gt;1447846860&lt;/added-date&gt;&lt;ref-type name="Journal Article"&gt;17&lt;/ref-type&gt;&lt;rec-number&gt;4143&lt;/rec-number&gt;&lt;publisher&gt;Taylor &amp;amp; Francis&lt;/publisher&gt;&lt;last-updated-date format="utc"&gt;1447846860&lt;/last-updated-date&gt;&lt;electronic-resource-num&gt;10.1080/01621459.1963.10500845&lt;/electronic-resource-num&gt;&lt;volume&gt;58&lt;/volume&gt;&lt;/record&gt;&lt;/Cite&gt;&lt;Cite&gt;&lt;Author&gt;Bray&lt;/Author&gt;&lt;Year&gt;1957&lt;/Year&gt;&lt;IDText&gt;An Ordination of the Upland Forest Communities of Southern Wisconsin&lt;/IDText&gt;&lt;record&gt;&lt;urls&gt;&lt;related-urls&gt;&lt;url&gt;http://www.jstor.org/stable/1942268&lt;/url&gt;&lt;/related-urls&gt;&lt;/urls&gt;&lt;isbn&gt;00129615&lt;/isbn&gt;&lt;custom1&gt;Full publication date: Oct., 1957&lt;/custom1&gt;&lt;titles&gt;&lt;title&gt;An Ordination of the Upland Forest Communities of Southern Wisconsin&lt;/title&gt;&lt;secondary-title&gt;Ecological Monographs&lt;/secondary-title&gt;&lt;/titles&gt;&lt;pages&gt;326-349&lt;/pages&gt;&lt;number&gt;4&lt;/number&gt;&lt;contributors&gt;&lt;authors&gt;&lt;author&gt;Bray, J. Roger&lt;/author&gt;&lt;author&gt;Curtis, J. T.&lt;/author&gt;&lt;/authors&gt;&lt;/contributors&gt;&lt;added-date format="utc"&gt;1447945143&lt;/added-date&gt;&lt;ref-type name="Journal Article"&gt;17&lt;/ref-type&gt;&lt;dates&gt;&lt;year&gt;1957&lt;/year&gt;&lt;/dates&gt;&lt;rec-number&gt;4148&lt;/rec-number&gt;&lt;publisher&gt;Ecological Society of America&lt;/publisher&gt;&lt;last-updated-date format="utc"&gt;1447945143&lt;/last-updated-date&gt;&lt;electronic-resource-num&gt;10.2307/1942268&lt;/electronic-resource-num&gt;&lt;volume&gt;27&lt;/volume&gt;&lt;/record&gt;&lt;/Cite&gt;&lt;/EndNote&gt;</w:instrText>
      </w:r>
      <w:r w:rsidRPr="000A4766">
        <w:rPr>
          <w:sz w:val="20"/>
          <w:lang w:val="en-US"/>
        </w:rPr>
        <w:fldChar w:fldCharType="separate"/>
      </w:r>
      <w:r w:rsidRPr="000A4766">
        <w:rPr>
          <w:noProof/>
          <w:sz w:val="20"/>
          <w:lang w:val="en-US"/>
        </w:rPr>
        <w:t>(Bray and Curtis, 1957; Ward, 1963)</w:t>
      </w:r>
      <w:r w:rsidRPr="000A4766">
        <w:rPr>
          <w:sz w:val="20"/>
          <w:lang w:val="en-US"/>
        </w:rPr>
        <w:fldChar w:fldCharType="end"/>
      </w:r>
      <w:r w:rsidRPr="000A4766">
        <w:rPr>
          <w:sz w:val="20"/>
          <w:lang w:val="en-US"/>
        </w:rPr>
        <w:t xml:space="preserve">. </w:t>
      </w:r>
    </w:p>
    <w:p w:rsidR="003F789A" w:rsidRPr="000A4766" w:rsidRDefault="003F789A" w:rsidP="00A75D5D">
      <w:pPr>
        <w:spacing w:line="360" w:lineRule="auto"/>
        <w:rPr>
          <w:sz w:val="20"/>
          <w:lang w:val="en-US"/>
        </w:rPr>
      </w:pPr>
    </w:p>
    <w:p w:rsidR="003F789A" w:rsidRPr="006D566F" w:rsidRDefault="003F789A" w:rsidP="006D566F">
      <w:pPr>
        <w:pStyle w:val="ListParagraph"/>
        <w:numPr>
          <w:ilvl w:val="1"/>
          <w:numId w:val="36"/>
        </w:numPr>
        <w:tabs>
          <w:tab w:val="clear" w:pos="1800"/>
          <w:tab w:val="num" w:pos="709"/>
        </w:tabs>
        <w:ind w:left="709"/>
        <w:rPr>
          <w:rFonts w:ascii="Arial" w:hAnsi="Arial"/>
          <w:b/>
          <w:i/>
          <w:sz w:val="20"/>
        </w:rPr>
      </w:pPr>
      <w:r w:rsidRPr="006D566F">
        <w:rPr>
          <w:rFonts w:ascii="Arial" w:hAnsi="Arial"/>
          <w:b/>
          <w:i/>
          <w:sz w:val="20"/>
        </w:rPr>
        <w:t>Descriptive statistics</w:t>
      </w:r>
    </w:p>
    <w:p w:rsidR="003F789A" w:rsidRDefault="003F789A" w:rsidP="00A75D5D">
      <w:pPr>
        <w:spacing w:line="360" w:lineRule="auto"/>
        <w:rPr>
          <w:sz w:val="20"/>
          <w:lang w:val="en-US"/>
        </w:rPr>
      </w:pPr>
      <w:r w:rsidRPr="000A4766">
        <w:rPr>
          <w:sz w:val="20"/>
          <w:lang w:val="en-US"/>
        </w:rPr>
        <w:t xml:space="preserve">We performed simple statistical analyses (means, standard deviation) for both the rating and weighting results to get a general overview over valuation results. In order to obtain a more specific idea of the differences in the distribution of values of </w:t>
      </w:r>
      <w:r>
        <w:rPr>
          <w:sz w:val="20"/>
          <w:lang w:val="en-US"/>
        </w:rPr>
        <w:t>ES</w:t>
      </w:r>
      <w:r w:rsidRPr="000A4766">
        <w:rPr>
          <w:sz w:val="20"/>
          <w:lang w:val="en-US"/>
        </w:rPr>
        <w:t xml:space="preserve">s in each cluster, we depicted medians and quartiles for all nine ES in respect of their rating and weighting scores. </w:t>
      </w:r>
    </w:p>
    <w:p w:rsidR="003F789A" w:rsidRDefault="003F789A" w:rsidP="006D566F">
      <w:pPr>
        <w:spacing w:after="0" w:line="360" w:lineRule="auto"/>
        <w:rPr>
          <w:sz w:val="20"/>
          <w:lang w:val="en-US"/>
        </w:rPr>
      </w:pPr>
    </w:p>
    <w:p w:rsidR="003F789A" w:rsidRPr="006D566F" w:rsidRDefault="003F789A" w:rsidP="006D566F">
      <w:pPr>
        <w:pStyle w:val="ListParagraph"/>
        <w:numPr>
          <w:ilvl w:val="1"/>
          <w:numId w:val="36"/>
        </w:numPr>
        <w:tabs>
          <w:tab w:val="clear" w:pos="1800"/>
          <w:tab w:val="num" w:pos="709"/>
        </w:tabs>
        <w:ind w:left="709"/>
        <w:rPr>
          <w:rFonts w:ascii="Arial" w:hAnsi="Arial"/>
          <w:b/>
          <w:i/>
          <w:sz w:val="20"/>
        </w:rPr>
      </w:pPr>
      <w:proofErr w:type="spellStart"/>
      <w:r w:rsidRPr="006D566F">
        <w:rPr>
          <w:rFonts w:ascii="Arial" w:hAnsi="Arial"/>
          <w:b/>
          <w:i/>
          <w:sz w:val="20"/>
        </w:rPr>
        <w:t>Kruskal</w:t>
      </w:r>
      <w:proofErr w:type="spellEnd"/>
      <w:r w:rsidRPr="006D566F">
        <w:rPr>
          <w:rFonts w:ascii="Arial" w:hAnsi="Arial"/>
          <w:b/>
          <w:i/>
          <w:sz w:val="20"/>
        </w:rPr>
        <w:t xml:space="preserve"> Wallis rank sum test / Dunn’s test</w:t>
      </w:r>
    </w:p>
    <w:p w:rsidR="003F789A" w:rsidRPr="000A4766" w:rsidRDefault="003F789A" w:rsidP="00A75D5D">
      <w:pPr>
        <w:spacing w:line="360" w:lineRule="auto"/>
        <w:rPr>
          <w:sz w:val="20"/>
          <w:lang w:val="en-US"/>
        </w:rPr>
      </w:pPr>
      <w:r w:rsidRPr="000A4766">
        <w:rPr>
          <w:sz w:val="20"/>
          <w:lang w:val="en-US"/>
        </w:rPr>
        <w:t xml:space="preserve">A non-parametric </w:t>
      </w:r>
      <w:proofErr w:type="spellStart"/>
      <w:r w:rsidRPr="000A4766">
        <w:rPr>
          <w:sz w:val="20"/>
          <w:lang w:val="en-US"/>
        </w:rPr>
        <w:t>Kruskal</w:t>
      </w:r>
      <w:proofErr w:type="spellEnd"/>
      <w:r w:rsidRPr="000A4766">
        <w:rPr>
          <w:sz w:val="20"/>
          <w:lang w:val="en-US"/>
        </w:rPr>
        <w:t xml:space="preserve">-Wallis rank sum test was performed to test if samples originate from the same distribution, i.e. for differences between the clusters rating and weighting ES </w:t>
      </w:r>
      <w:r w:rsidRPr="000A4766">
        <w:rPr>
          <w:sz w:val="20"/>
          <w:lang w:val="en-US"/>
        </w:rPr>
        <w:fldChar w:fldCharType="begin"/>
      </w:r>
      <w:r w:rsidRPr="000A4766">
        <w:rPr>
          <w:sz w:val="20"/>
          <w:lang w:val="en-US"/>
        </w:rPr>
        <w:instrText xml:space="preserve"> ADDIN EN.CITE &lt;EndNote&gt;&lt;Cite&gt;&lt;Author&gt;Kruskal&lt;/Author&gt;&lt;Year&gt;1952&lt;/Year&gt;&lt;IDText&gt;Use of Ranks in One-Criterion Variance Analysis&lt;/IDText&gt;&lt;DisplayText&gt;(Kruskal and Wallis, 1952)&lt;/DisplayText&gt;&lt;record&gt;&lt;dates&gt;&lt;pub-dates&gt;&lt;date&gt;1952/12/01&lt;/date&gt;&lt;/pub-dates&gt;&lt;year&gt;1952&lt;/year&gt;&lt;/dates&gt;&lt;urls&gt;&lt;related-urls&gt;&lt;url&gt;http://www.tandfonline.com/doi/abs/10.1080/01621459.1952.10483441&lt;/url&gt;&lt;/related-urls&gt;&lt;/urls&gt;&lt;isbn&gt;0162-1459&lt;/isbn&gt;&lt;titles&gt;&lt;title&gt;Use of Ranks in One-Criterion Variance Analysis&lt;/title&gt;&lt;secondary-title&gt;Journal of the American Statistical Association&lt;/secondary-title&gt;&lt;/titles&gt;&lt;pages&gt;583-621&lt;/pages&gt;&lt;number&gt;260&lt;/number&gt;&lt;contributors&gt;&lt;authors&gt;&lt;author&gt;Kruskal, William H.&lt;/author&gt;&lt;author&gt;Wallis, W. Allen&lt;/author&gt;&lt;/authors&gt;&lt;/contributors&gt;&lt;added-date format="utc"&gt;1447850864&lt;/added-date&gt;&lt;ref-type name="Journal Article"&gt;17&lt;/ref-type&gt;&lt;rec-number&gt;4145&lt;/rec-number&gt;&lt;publisher&gt;Taylor &amp;amp; Francis&lt;/publisher&gt;&lt;last-updated-date format="utc"&gt;1447850864&lt;/last-updated-date&gt;&lt;electronic-resource-num&gt;10.1080/01621459.1952.10483441&lt;/electronic-resource-num&gt;&lt;volume&gt;47&lt;/volume&gt;&lt;/record&gt;&lt;/Cite&gt;&lt;/EndNote&gt;</w:instrText>
      </w:r>
      <w:r w:rsidRPr="000A4766">
        <w:rPr>
          <w:sz w:val="20"/>
          <w:lang w:val="en-US"/>
        </w:rPr>
        <w:fldChar w:fldCharType="separate"/>
      </w:r>
      <w:r w:rsidRPr="000A4766">
        <w:rPr>
          <w:noProof/>
          <w:sz w:val="20"/>
          <w:lang w:val="en-US"/>
        </w:rPr>
        <w:t>(Kruskal and Wallis, 1952)</w:t>
      </w:r>
      <w:r w:rsidRPr="000A4766">
        <w:rPr>
          <w:sz w:val="20"/>
          <w:lang w:val="en-US"/>
        </w:rPr>
        <w:fldChar w:fldCharType="end"/>
      </w:r>
      <w:r w:rsidRPr="000A4766">
        <w:rPr>
          <w:sz w:val="20"/>
          <w:lang w:val="en-US"/>
        </w:rPr>
        <w:t xml:space="preserve">. </w:t>
      </w:r>
      <w:r>
        <w:rPr>
          <w:sz w:val="20"/>
          <w:lang w:val="en-US"/>
        </w:rPr>
        <w:t xml:space="preserve">A </w:t>
      </w:r>
      <w:r w:rsidRPr="000A4766">
        <w:rPr>
          <w:sz w:val="20"/>
          <w:lang w:val="en-US"/>
        </w:rPr>
        <w:t xml:space="preserve">Post-hoc Dunn’s test was used to report which clusters differed by pairwise comparison </w:t>
      </w:r>
      <w:r w:rsidRPr="000A4766">
        <w:rPr>
          <w:sz w:val="20"/>
          <w:lang w:val="en-US"/>
        </w:rPr>
        <w:fldChar w:fldCharType="begin"/>
      </w:r>
      <w:r w:rsidRPr="000A4766">
        <w:rPr>
          <w:sz w:val="20"/>
          <w:lang w:val="en-US"/>
        </w:rPr>
        <w:instrText xml:space="preserve"> ADDIN EN.CITE &lt;EndNote&gt;&lt;Cite&gt;&lt;Author&gt;Dunn&lt;/Author&gt;&lt;Year&gt;1964&lt;/Year&gt;&lt;IDText&gt;Multiple Comparisons Using Rank Sums&lt;/IDText&gt;&lt;DisplayText&gt;(Dunn, 1964)&lt;/DisplayText&gt;&lt;record&gt;&lt;dates&gt;&lt;pub-dates&gt;&lt;date&gt;1964/08/01&lt;/date&gt;&lt;/pub-dates&gt;&lt;year&gt;1964&lt;/year&gt;&lt;/dates&gt;&lt;urls&gt;&lt;related-urls&gt;&lt;url&gt;http://www.tandfonline.com/doi/abs/10.1080/00401706.1964.10490181&lt;/url&gt;&lt;/related-urls&gt;&lt;/urls&gt;&lt;isbn&gt;0040-1706&lt;/isbn&gt;&lt;titles&gt;&lt;title&gt;Multiple Comparisons Using Rank Sums&lt;/title&gt;&lt;secondary-title&gt;Technometrics&lt;/secondary-title&gt;&lt;/titles&gt;&lt;pages&gt;241-252&lt;/pages&gt;&lt;number&gt;3&lt;/number&gt;&lt;contributors&gt;&lt;authors&gt;&lt;author&gt;Dunn, Olive Jean&lt;/author&gt;&lt;/authors&gt;&lt;/contributors&gt;&lt;added-date format="utc"&gt;1447851089&lt;/added-date&gt;&lt;ref-type name="Journal Article"&gt;17&lt;/ref-type&gt;&lt;rec-number&gt;4146&lt;/rec-number&gt;&lt;publisher&gt;Taylor &amp;amp; Francis&lt;/publisher&gt;&lt;last-updated-date format="utc"&gt;1447851089&lt;/last-updated-date&gt;&lt;electronic-resource-num&gt;10.1080/00401706.1964.10490181&lt;/electronic-resource-num&gt;&lt;volume&gt;6&lt;/volume&gt;&lt;/record&gt;&lt;/Cite&gt;&lt;/EndNote&gt;</w:instrText>
      </w:r>
      <w:r w:rsidRPr="000A4766">
        <w:rPr>
          <w:sz w:val="20"/>
          <w:lang w:val="en-US"/>
        </w:rPr>
        <w:fldChar w:fldCharType="separate"/>
      </w:r>
      <w:r w:rsidRPr="000A4766">
        <w:rPr>
          <w:noProof/>
          <w:sz w:val="20"/>
          <w:lang w:val="en-US"/>
        </w:rPr>
        <w:t>(Dunn, 1964)</w:t>
      </w:r>
      <w:r w:rsidRPr="000A4766">
        <w:rPr>
          <w:sz w:val="20"/>
          <w:lang w:val="en-US"/>
        </w:rPr>
        <w:fldChar w:fldCharType="end"/>
      </w:r>
      <w:r w:rsidRPr="000A4766">
        <w:rPr>
          <w:sz w:val="20"/>
          <w:lang w:val="en-US"/>
        </w:rPr>
        <w:t>.</w:t>
      </w:r>
    </w:p>
    <w:p w:rsidR="003F789A" w:rsidRPr="000A4766" w:rsidRDefault="003F789A" w:rsidP="00A75D5D">
      <w:pPr>
        <w:spacing w:line="360" w:lineRule="auto"/>
        <w:rPr>
          <w:sz w:val="20"/>
          <w:lang w:val="en-US"/>
        </w:rPr>
      </w:pPr>
    </w:p>
    <w:p w:rsidR="003F789A" w:rsidRDefault="003F789A" w:rsidP="0032165B">
      <w:pPr>
        <w:pStyle w:val="Heading3"/>
        <w:numPr>
          <w:ilvl w:val="2"/>
          <w:numId w:val="35"/>
        </w:numPr>
        <w:ind w:left="851" w:hanging="851"/>
      </w:pPr>
      <w:bookmarkStart w:id="97" w:name="_Toc436757154"/>
      <w:bookmarkStart w:id="98" w:name="_Toc436758093"/>
      <w:r>
        <w:t xml:space="preserve"> </w:t>
      </w:r>
      <w:bookmarkStart w:id="99" w:name="_Toc436915617"/>
      <w:bookmarkStart w:id="100" w:name="_Toc436916058"/>
      <w:r w:rsidRPr="00C221AF">
        <w:t>Results</w:t>
      </w:r>
      <w:bookmarkEnd w:id="97"/>
      <w:bookmarkEnd w:id="98"/>
      <w:bookmarkEnd w:id="99"/>
      <w:bookmarkEnd w:id="100"/>
    </w:p>
    <w:p w:rsidR="003F789A" w:rsidRPr="00C93D2F" w:rsidRDefault="003F789A" w:rsidP="00C93D2F"/>
    <w:p w:rsidR="003F789A" w:rsidRPr="006D566F" w:rsidRDefault="003F789A" w:rsidP="00C221AF">
      <w:pPr>
        <w:pStyle w:val="ListParagraph"/>
        <w:spacing w:after="200"/>
        <w:ind w:left="0"/>
        <w:rPr>
          <w:rFonts w:ascii="Arial" w:hAnsi="Arial"/>
          <w:b/>
          <w:sz w:val="20"/>
          <w:szCs w:val="20"/>
        </w:rPr>
      </w:pPr>
      <w:r w:rsidRPr="006D566F">
        <w:rPr>
          <w:rFonts w:ascii="Arial" w:hAnsi="Arial"/>
          <w:b/>
          <w:sz w:val="20"/>
          <w:szCs w:val="20"/>
        </w:rPr>
        <w:t>Cluster analysis based on trade-off preferences</w:t>
      </w:r>
    </w:p>
    <w:p w:rsidR="003F789A" w:rsidRPr="000A4766" w:rsidRDefault="003F789A" w:rsidP="00A75D5D">
      <w:pPr>
        <w:spacing w:line="360" w:lineRule="auto"/>
        <w:rPr>
          <w:sz w:val="20"/>
          <w:lang w:val="en-US"/>
        </w:rPr>
      </w:pPr>
      <w:r w:rsidRPr="000A4766">
        <w:rPr>
          <w:sz w:val="20"/>
          <w:lang w:val="en-US"/>
        </w:rPr>
        <w:t xml:space="preserve">Hierarchical cluster analysis based on landscape preferences for the future management in the </w:t>
      </w:r>
      <w:proofErr w:type="spellStart"/>
      <w:r w:rsidRPr="000A4766">
        <w:rPr>
          <w:sz w:val="20"/>
          <w:lang w:val="en-US"/>
        </w:rPr>
        <w:t>Pentland</w:t>
      </w:r>
      <w:proofErr w:type="spellEnd"/>
      <w:r w:rsidRPr="000A4766">
        <w:rPr>
          <w:sz w:val="20"/>
          <w:lang w:val="en-US"/>
        </w:rPr>
        <w:t xml:space="preserve"> Hills Regional Park revealed five distinctive respondent groups (Fig. 2). These groups are characterized by similar preferences in terms of the future land use in the </w:t>
      </w:r>
      <w:proofErr w:type="spellStart"/>
      <w:r w:rsidRPr="000A4766">
        <w:rPr>
          <w:sz w:val="20"/>
          <w:lang w:val="en-US"/>
        </w:rPr>
        <w:t>Pentland</w:t>
      </w:r>
      <w:proofErr w:type="spellEnd"/>
      <w:r w:rsidRPr="000A4766">
        <w:rPr>
          <w:sz w:val="20"/>
          <w:lang w:val="en-US"/>
        </w:rPr>
        <w:t xml:space="preserve"> Hills and what they are willing to trade-off to maintain these preferences. </w:t>
      </w:r>
    </w:p>
    <w:p w:rsidR="003F789A" w:rsidRPr="000A4766" w:rsidRDefault="003F789A" w:rsidP="00951BFC">
      <w:pPr>
        <w:spacing w:after="120" w:line="360" w:lineRule="auto"/>
        <w:rPr>
          <w:sz w:val="20"/>
          <w:lang w:val="en-US"/>
        </w:rPr>
      </w:pPr>
      <w:r w:rsidRPr="000A4766">
        <w:rPr>
          <w:sz w:val="20"/>
          <w:szCs w:val="18"/>
          <w:lang w:val="en-US"/>
        </w:rPr>
        <w:t>Cluster 1 (13%) represent the “Traditionalists”, who indicated moderate preferences for woodland, habitat and species diversity, who could tolerate sheep farming and recreational uses to a small extent, but who indicated that their preferences provided little inspiration.</w:t>
      </w:r>
    </w:p>
    <w:p w:rsidR="003F789A" w:rsidRPr="000A4766" w:rsidRDefault="003F789A" w:rsidP="00951BFC">
      <w:pPr>
        <w:spacing w:after="120" w:line="360" w:lineRule="auto"/>
        <w:rPr>
          <w:sz w:val="20"/>
          <w:szCs w:val="18"/>
          <w:lang w:val="en-US"/>
        </w:rPr>
      </w:pPr>
      <w:r w:rsidRPr="000A4766">
        <w:rPr>
          <w:sz w:val="20"/>
          <w:szCs w:val="18"/>
          <w:lang w:val="en-US"/>
        </w:rPr>
        <w:t xml:space="preserve">Cluster 2 (16%), named “Multi-functionalists”, could almost equally tolerate all of the suggested land uses, i.e. indicating no preferences for any particular land uses but a broad acceptance for them all. Respondents indicated that their preferences would allow for a medium level of inspiration. </w:t>
      </w:r>
    </w:p>
    <w:p w:rsidR="003F789A" w:rsidRPr="000A4766" w:rsidRDefault="003F789A" w:rsidP="00951BFC">
      <w:pPr>
        <w:spacing w:after="120" w:line="360" w:lineRule="auto"/>
        <w:rPr>
          <w:sz w:val="20"/>
          <w:szCs w:val="18"/>
          <w:lang w:val="en-US"/>
        </w:rPr>
      </w:pPr>
      <w:r w:rsidRPr="000A4766">
        <w:rPr>
          <w:sz w:val="20"/>
          <w:szCs w:val="18"/>
          <w:lang w:val="en-US"/>
        </w:rPr>
        <w:t xml:space="preserve">Cluster 3 (48%). We found that of the 563 respondents of our survey, almost half fitted into this cluster, “Nature lovers”, who indicated clear preferences for habitat and species diversity as well as an increase in woodland areas, while being tolerant of sheep farming and recreational uses. Respondents in cluster 3 had little no or little tolerance for wind turbines in the </w:t>
      </w:r>
      <w:proofErr w:type="spellStart"/>
      <w:r w:rsidRPr="000A4766">
        <w:rPr>
          <w:sz w:val="20"/>
          <w:szCs w:val="18"/>
          <w:lang w:val="en-US"/>
        </w:rPr>
        <w:t>Pentlands</w:t>
      </w:r>
      <w:proofErr w:type="spellEnd"/>
      <w:r w:rsidRPr="000A4766">
        <w:rPr>
          <w:sz w:val="20"/>
          <w:szCs w:val="18"/>
          <w:lang w:val="en-US"/>
        </w:rPr>
        <w:t xml:space="preserve"> and indicated their preferences would allow for a high level of inspiration.</w:t>
      </w:r>
    </w:p>
    <w:p w:rsidR="003F789A" w:rsidRPr="000A4766" w:rsidRDefault="003F789A" w:rsidP="00951BFC">
      <w:pPr>
        <w:spacing w:after="120" w:line="360" w:lineRule="auto"/>
        <w:rPr>
          <w:sz w:val="20"/>
          <w:szCs w:val="18"/>
          <w:lang w:val="en-US"/>
        </w:rPr>
      </w:pPr>
      <w:r w:rsidRPr="000A4766">
        <w:rPr>
          <w:sz w:val="20"/>
          <w:szCs w:val="18"/>
          <w:lang w:val="en-US"/>
        </w:rPr>
        <w:lastRenderedPageBreak/>
        <w:t>Cluster 4 (15 %) These respondents were characterized as “recreation seekers”. They indicated the highest preference for recreational infrastructure and uses while having a low-medium interest in sheep farming, habitat and biodiversity and forest areas. Respondents had no or little tolerance for wind turbines and indicated that their preferred land use scenario allowed for a medium level of inspiration.</w:t>
      </w:r>
    </w:p>
    <w:p w:rsidR="003F789A" w:rsidRPr="000A4766" w:rsidRDefault="003F789A" w:rsidP="00951BFC">
      <w:pPr>
        <w:spacing w:after="120" w:line="360" w:lineRule="auto"/>
        <w:rPr>
          <w:sz w:val="20"/>
          <w:szCs w:val="18"/>
          <w:lang w:val="en-US"/>
        </w:rPr>
      </w:pPr>
      <w:r>
        <w:rPr>
          <w:sz w:val="20"/>
          <w:szCs w:val="18"/>
          <w:lang w:val="en-US"/>
        </w:rPr>
        <w:t>Cluster 5 (3%). ‘</w:t>
      </w:r>
      <w:r w:rsidRPr="000A4766">
        <w:rPr>
          <w:sz w:val="20"/>
          <w:szCs w:val="18"/>
          <w:lang w:val="en-US"/>
        </w:rPr>
        <w:t>Forest enthusiasts</w:t>
      </w:r>
      <w:r>
        <w:rPr>
          <w:sz w:val="20"/>
          <w:szCs w:val="18"/>
          <w:lang w:val="en-US"/>
        </w:rPr>
        <w:t>’</w:t>
      </w:r>
      <w:r w:rsidRPr="000A4766">
        <w:rPr>
          <w:sz w:val="20"/>
          <w:szCs w:val="18"/>
          <w:lang w:val="en-US"/>
        </w:rPr>
        <w:t xml:space="preserve"> </w:t>
      </w:r>
      <w:r>
        <w:rPr>
          <w:sz w:val="20"/>
          <w:szCs w:val="18"/>
          <w:lang w:val="en-US"/>
        </w:rPr>
        <w:t xml:space="preserve">were </w:t>
      </w:r>
      <w:r w:rsidRPr="000A4766">
        <w:rPr>
          <w:sz w:val="20"/>
          <w:szCs w:val="18"/>
          <w:lang w:val="en-US"/>
        </w:rPr>
        <w:t>the smallest group of respondents. They indicated a strong preference for forest areas and the expansion of forest far beyond the current area while indicating a low tolerance of sheep farming. Respondents indicated a low-medium interest in habitat and biodiversity and recreational uses while tolerating wind farms to a small extent. They indicated that their preferred scenario would provide a low-medium level of inspiration.</w:t>
      </w:r>
    </w:p>
    <w:p w:rsidR="003F789A" w:rsidRPr="000A4766" w:rsidRDefault="003F789A" w:rsidP="00A75D5D">
      <w:pPr>
        <w:spacing w:line="360" w:lineRule="auto"/>
        <w:rPr>
          <w:sz w:val="20"/>
          <w:lang w:val="en-US"/>
        </w:rPr>
      </w:pPr>
    </w:p>
    <w:p w:rsidR="003F789A" w:rsidRPr="000A4766" w:rsidRDefault="008C4819" w:rsidP="00A75D5D">
      <w:pPr>
        <w:keepNext/>
        <w:spacing w:after="0" w:line="360" w:lineRule="auto"/>
        <w:rPr>
          <w:sz w:val="20"/>
        </w:rPr>
      </w:pPr>
      <w:r>
        <w:rPr>
          <w:noProof/>
          <w:sz w:val="20"/>
          <w:lang w:val="en-IE" w:eastAsia="en-IE"/>
        </w:rPr>
        <w:drawing>
          <wp:inline distT="0" distB="0" distL="0" distR="0">
            <wp:extent cx="5196205" cy="4806315"/>
            <wp:effectExtent l="0" t="0" r="4445" b="0"/>
            <wp:docPr id="3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5">
                      <a:extLst>
                        <a:ext uri="{28A0092B-C50C-407E-A947-70E740481C1C}">
                          <a14:useLocalDpi xmlns:a14="http://schemas.microsoft.com/office/drawing/2010/main" val="0"/>
                        </a:ext>
                      </a:extLst>
                    </a:blip>
                    <a:srcRect l="9814"/>
                    <a:stretch>
                      <a:fillRect/>
                    </a:stretch>
                  </pic:blipFill>
                  <pic:spPr bwMode="auto">
                    <a:xfrm>
                      <a:off x="0" y="0"/>
                      <a:ext cx="5196205" cy="4806315"/>
                    </a:xfrm>
                    <a:prstGeom prst="rect">
                      <a:avLst/>
                    </a:prstGeom>
                    <a:noFill/>
                    <a:ln>
                      <a:noFill/>
                    </a:ln>
                  </pic:spPr>
                </pic:pic>
              </a:graphicData>
            </a:graphic>
          </wp:inline>
        </w:drawing>
      </w:r>
    </w:p>
    <w:p w:rsidR="003F789A" w:rsidRPr="000A4766" w:rsidRDefault="003F789A" w:rsidP="00A75D5D">
      <w:pPr>
        <w:pStyle w:val="Caption"/>
        <w:spacing w:line="360" w:lineRule="auto"/>
        <w:rPr>
          <w:lang w:val="en-US"/>
        </w:rPr>
      </w:pPr>
      <w:r w:rsidRPr="000A4766">
        <w:rPr>
          <w:lang w:val="en-US"/>
        </w:rPr>
        <w:t xml:space="preserve">Fig. </w:t>
      </w:r>
      <w:r w:rsidRPr="000A4766">
        <w:rPr>
          <w:lang w:val="en-US"/>
        </w:rPr>
        <w:fldChar w:fldCharType="begin"/>
      </w:r>
      <w:r w:rsidRPr="000A4766">
        <w:rPr>
          <w:lang w:val="en-US"/>
        </w:rPr>
        <w:instrText xml:space="preserve"> SEQ Fig. \* ARABIC </w:instrText>
      </w:r>
      <w:r w:rsidRPr="000A4766">
        <w:rPr>
          <w:lang w:val="en-US"/>
        </w:rPr>
        <w:fldChar w:fldCharType="separate"/>
      </w:r>
      <w:r>
        <w:rPr>
          <w:noProof/>
          <w:lang w:val="en-US"/>
        </w:rPr>
        <w:t>2</w:t>
      </w:r>
      <w:r w:rsidRPr="000A4766">
        <w:rPr>
          <w:lang w:val="en-US"/>
        </w:rPr>
        <w:fldChar w:fldCharType="end"/>
      </w:r>
      <w:r w:rsidRPr="000A4766">
        <w:rPr>
          <w:lang w:val="en-US"/>
        </w:rPr>
        <w:t xml:space="preserve"> Virtual landscapes of 5 clusters based on landscape preferences; </w:t>
      </w:r>
      <w:proofErr w:type="spellStart"/>
      <w:r w:rsidRPr="000A4766">
        <w:rPr>
          <w:lang w:val="en-US"/>
        </w:rPr>
        <w:t>barplots</w:t>
      </w:r>
      <w:proofErr w:type="spellEnd"/>
      <w:r w:rsidRPr="000A4766">
        <w:rPr>
          <w:lang w:val="en-US"/>
        </w:rPr>
        <w:t xml:space="preserve"> indicate mean landscape preferences per cluster; boxplots indicate results of social rating (Likert scale) and social weighting (allocation of 100 points) per cluster based on landscape preferences</w:t>
      </w:r>
    </w:p>
    <w:p w:rsidR="003F789A" w:rsidRPr="006D566F" w:rsidRDefault="003F789A" w:rsidP="006D566F">
      <w:pPr>
        <w:pStyle w:val="ListParagraph"/>
        <w:keepNext/>
        <w:spacing w:after="200"/>
        <w:ind w:left="0"/>
        <w:rPr>
          <w:rFonts w:ascii="Arial" w:hAnsi="Arial"/>
          <w:b/>
          <w:sz w:val="20"/>
        </w:rPr>
      </w:pPr>
      <w:r w:rsidRPr="006D566F">
        <w:rPr>
          <w:rFonts w:ascii="Arial" w:hAnsi="Arial"/>
          <w:b/>
          <w:sz w:val="20"/>
        </w:rPr>
        <w:lastRenderedPageBreak/>
        <w:t>Descriptive statistics</w:t>
      </w:r>
    </w:p>
    <w:p w:rsidR="003F789A" w:rsidRPr="000A4766" w:rsidRDefault="003F789A" w:rsidP="006D566F">
      <w:pPr>
        <w:keepNext/>
        <w:spacing w:line="360" w:lineRule="auto"/>
        <w:rPr>
          <w:sz w:val="20"/>
          <w:lang w:val="en-US"/>
        </w:rPr>
      </w:pPr>
      <w:r w:rsidRPr="000A4766">
        <w:rPr>
          <w:sz w:val="20"/>
          <w:lang w:val="en-US"/>
        </w:rPr>
        <w:t xml:space="preserve">Simple statistical analysis was used to get an overview of </w:t>
      </w:r>
      <w:r>
        <w:rPr>
          <w:sz w:val="20"/>
          <w:lang w:val="en-US"/>
        </w:rPr>
        <w:t>ES</w:t>
      </w:r>
      <w:r w:rsidRPr="000A4766">
        <w:rPr>
          <w:sz w:val="20"/>
          <w:lang w:val="en-US"/>
        </w:rPr>
        <w:t xml:space="preserve">s values across the sample. As shown in Table 2, results of both valuation exercises suggest that the physical use of the Park is the most important ES provided to users. The provision of food as well as carbon sequestration are found to be the least important ES for users. Whereas the value points in the rating exercise range from 2.7 to 4.7 (medium personal importance to very high personal importance), the weighting exercise reveals a more nuanced picture of the respondents’ preferences. Here we found that more than half of all points were allocated towards three ES, whereas very few points were distributed to a couple of ES. </w:t>
      </w:r>
    </w:p>
    <w:p w:rsidR="003F789A" w:rsidRPr="000A4766" w:rsidRDefault="003F789A" w:rsidP="00951BFC">
      <w:pPr>
        <w:pStyle w:val="Caption"/>
        <w:keepNext/>
        <w:pBdr>
          <w:left w:val="single" w:sz="18" w:space="3" w:color="F2F2F2"/>
        </w:pBdr>
        <w:spacing w:line="360" w:lineRule="auto"/>
        <w:rPr>
          <w:lang w:val="en-US"/>
        </w:rPr>
      </w:pPr>
      <w:r w:rsidRPr="000A4766">
        <w:rPr>
          <w:lang w:val="en-US"/>
        </w:rPr>
        <w:t xml:space="preserve">Table </w:t>
      </w:r>
      <w:r w:rsidRPr="000A4766">
        <w:rPr>
          <w:lang w:val="en-US"/>
        </w:rPr>
        <w:fldChar w:fldCharType="begin"/>
      </w:r>
      <w:r w:rsidRPr="000A4766">
        <w:rPr>
          <w:lang w:val="en-US"/>
        </w:rPr>
        <w:instrText xml:space="preserve"> SEQ Tab. \* ARABIC </w:instrText>
      </w:r>
      <w:r w:rsidRPr="000A4766">
        <w:rPr>
          <w:lang w:val="en-US"/>
        </w:rPr>
        <w:fldChar w:fldCharType="separate"/>
      </w:r>
      <w:r>
        <w:rPr>
          <w:noProof/>
          <w:lang w:val="en-US"/>
        </w:rPr>
        <w:t>2</w:t>
      </w:r>
      <w:r w:rsidRPr="000A4766">
        <w:rPr>
          <w:lang w:val="en-US"/>
        </w:rPr>
        <w:fldChar w:fldCharType="end"/>
      </w:r>
      <w:r w:rsidRPr="000A4766">
        <w:rPr>
          <w:lang w:val="en-US"/>
        </w:rPr>
        <w:t xml:space="preserve"> Mean values and standard deviation for rating and weighting of ES across entire sample </w:t>
      </w:r>
    </w:p>
    <w:tbl>
      <w:tblPr>
        <w:tblW w:w="0" w:type="auto"/>
        <w:tblBorders>
          <w:top w:val="single" w:sz="4" w:space="0" w:color="auto"/>
          <w:bottom w:val="single" w:sz="4" w:space="0" w:color="auto"/>
        </w:tblBorders>
        <w:tblLayout w:type="fixed"/>
        <w:tblLook w:val="00A0" w:firstRow="1" w:lastRow="0" w:firstColumn="1" w:lastColumn="0" w:noHBand="0" w:noVBand="0"/>
      </w:tblPr>
      <w:tblGrid>
        <w:gridCol w:w="4019"/>
        <w:gridCol w:w="698"/>
        <w:gridCol w:w="778"/>
        <w:gridCol w:w="778"/>
        <w:gridCol w:w="639"/>
      </w:tblGrid>
      <w:tr w:rsidR="003F789A" w:rsidRPr="000A4766" w:rsidTr="00A75D5D">
        <w:tc>
          <w:tcPr>
            <w:tcW w:w="4019" w:type="dxa"/>
            <w:tcBorders>
              <w:top w:val="single" w:sz="4" w:space="0" w:color="auto"/>
              <w:bottom w:val="nil"/>
            </w:tcBorders>
          </w:tcPr>
          <w:p w:rsidR="003F789A" w:rsidRPr="00951BFC" w:rsidRDefault="003F789A" w:rsidP="00A75D5D">
            <w:pPr>
              <w:keepNext/>
              <w:tabs>
                <w:tab w:val="left" w:pos="1872"/>
              </w:tabs>
              <w:spacing w:after="0" w:line="360" w:lineRule="auto"/>
              <w:rPr>
                <w:b/>
                <w:sz w:val="18"/>
                <w:szCs w:val="18"/>
                <w:lang w:val="en-US"/>
              </w:rPr>
            </w:pPr>
            <w:r w:rsidRPr="00951BFC">
              <w:rPr>
                <w:b/>
                <w:sz w:val="18"/>
                <w:szCs w:val="18"/>
                <w:lang w:val="en-US"/>
              </w:rPr>
              <w:t>Ecosystem service</w:t>
            </w:r>
            <w:r w:rsidRPr="00951BFC">
              <w:rPr>
                <w:b/>
                <w:sz w:val="18"/>
                <w:szCs w:val="18"/>
                <w:lang w:val="en-US"/>
              </w:rPr>
              <w:tab/>
            </w:r>
          </w:p>
        </w:tc>
        <w:tc>
          <w:tcPr>
            <w:tcW w:w="1476" w:type="dxa"/>
            <w:gridSpan w:val="2"/>
            <w:tcBorders>
              <w:top w:val="single" w:sz="4" w:space="0" w:color="auto"/>
              <w:bottom w:val="nil"/>
            </w:tcBorders>
          </w:tcPr>
          <w:p w:rsidR="003F789A" w:rsidRPr="00951BFC" w:rsidRDefault="003F789A" w:rsidP="00A75D5D">
            <w:pPr>
              <w:keepNext/>
              <w:spacing w:after="0" w:line="360" w:lineRule="auto"/>
              <w:jc w:val="center"/>
              <w:rPr>
                <w:b/>
                <w:sz w:val="18"/>
                <w:szCs w:val="18"/>
                <w:lang w:val="en-US"/>
              </w:rPr>
            </w:pPr>
            <w:r w:rsidRPr="00951BFC">
              <w:rPr>
                <w:b/>
                <w:sz w:val="18"/>
                <w:szCs w:val="18"/>
                <w:lang w:val="en-US"/>
              </w:rPr>
              <w:t>Rating</w:t>
            </w:r>
          </w:p>
        </w:tc>
        <w:tc>
          <w:tcPr>
            <w:tcW w:w="1417" w:type="dxa"/>
            <w:gridSpan w:val="2"/>
            <w:tcBorders>
              <w:top w:val="single" w:sz="4" w:space="0" w:color="auto"/>
              <w:bottom w:val="nil"/>
            </w:tcBorders>
          </w:tcPr>
          <w:p w:rsidR="003F789A" w:rsidRPr="00951BFC" w:rsidRDefault="003F789A" w:rsidP="00A75D5D">
            <w:pPr>
              <w:keepNext/>
              <w:spacing w:after="0" w:line="360" w:lineRule="auto"/>
              <w:jc w:val="center"/>
              <w:rPr>
                <w:b/>
                <w:sz w:val="18"/>
                <w:szCs w:val="18"/>
                <w:lang w:val="en-US"/>
              </w:rPr>
            </w:pPr>
            <w:r w:rsidRPr="00951BFC">
              <w:rPr>
                <w:b/>
                <w:sz w:val="18"/>
                <w:szCs w:val="18"/>
                <w:lang w:val="en-US"/>
              </w:rPr>
              <w:t>Weighting</w:t>
            </w:r>
          </w:p>
        </w:tc>
      </w:tr>
      <w:tr w:rsidR="003F789A" w:rsidRPr="000A4766" w:rsidTr="00A75D5D">
        <w:tc>
          <w:tcPr>
            <w:tcW w:w="4019" w:type="dxa"/>
            <w:tcBorders>
              <w:top w:val="nil"/>
              <w:bottom w:val="single" w:sz="4" w:space="0" w:color="auto"/>
            </w:tcBorders>
          </w:tcPr>
          <w:p w:rsidR="003F789A" w:rsidRPr="00951BFC" w:rsidRDefault="003F789A" w:rsidP="00A75D5D">
            <w:pPr>
              <w:keepNext/>
              <w:tabs>
                <w:tab w:val="left" w:pos="1872"/>
              </w:tabs>
              <w:spacing w:after="0" w:line="360" w:lineRule="auto"/>
              <w:rPr>
                <w:sz w:val="18"/>
                <w:szCs w:val="18"/>
                <w:lang w:val="en-US"/>
              </w:rPr>
            </w:pPr>
          </w:p>
        </w:tc>
        <w:tc>
          <w:tcPr>
            <w:tcW w:w="698" w:type="dxa"/>
            <w:tcBorders>
              <w:top w:val="nil"/>
              <w:bottom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Mean</w:t>
            </w:r>
          </w:p>
        </w:tc>
        <w:tc>
          <w:tcPr>
            <w:tcW w:w="778" w:type="dxa"/>
            <w:tcBorders>
              <w:top w:val="nil"/>
              <w:bottom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SD</w:t>
            </w:r>
          </w:p>
        </w:tc>
        <w:tc>
          <w:tcPr>
            <w:tcW w:w="778" w:type="dxa"/>
            <w:tcBorders>
              <w:top w:val="nil"/>
              <w:bottom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Mean</w:t>
            </w:r>
          </w:p>
        </w:tc>
        <w:tc>
          <w:tcPr>
            <w:tcW w:w="639" w:type="dxa"/>
            <w:tcBorders>
              <w:top w:val="nil"/>
              <w:bottom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SD</w:t>
            </w:r>
          </w:p>
        </w:tc>
      </w:tr>
      <w:tr w:rsidR="003F789A" w:rsidRPr="000A4766" w:rsidTr="00A75D5D">
        <w:tc>
          <w:tcPr>
            <w:tcW w:w="4019" w:type="dxa"/>
            <w:tcBorders>
              <w:top w:val="single" w:sz="4" w:space="0" w:color="auto"/>
            </w:tcBorders>
          </w:tcPr>
          <w:p w:rsidR="003F789A" w:rsidRPr="00951BFC" w:rsidRDefault="003F789A" w:rsidP="00A75D5D">
            <w:pPr>
              <w:keepNext/>
              <w:spacing w:after="0" w:line="360" w:lineRule="auto"/>
              <w:rPr>
                <w:rFonts w:cs="Adobe Devanagari"/>
                <w:sz w:val="18"/>
                <w:szCs w:val="18"/>
                <w:lang w:val="en-US"/>
              </w:rPr>
            </w:pPr>
            <w:r w:rsidRPr="00951BFC">
              <w:rPr>
                <w:rFonts w:cs="Adobe Devanagari"/>
                <w:sz w:val="18"/>
                <w:szCs w:val="18"/>
                <w:lang w:val="en-US"/>
              </w:rPr>
              <w:t>Experiential use of plants, animals and land-/seascapes in different environmental settings</w:t>
            </w:r>
          </w:p>
        </w:tc>
        <w:tc>
          <w:tcPr>
            <w:tcW w:w="698" w:type="dxa"/>
            <w:tcBorders>
              <w:top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4.2</w:t>
            </w:r>
          </w:p>
        </w:tc>
        <w:tc>
          <w:tcPr>
            <w:tcW w:w="778" w:type="dxa"/>
            <w:tcBorders>
              <w:top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1.2</w:t>
            </w:r>
          </w:p>
        </w:tc>
        <w:tc>
          <w:tcPr>
            <w:tcW w:w="778" w:type="dxa"/>
            <w:tcBorders>
              <w:top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15.9</w:t>
            </w:r>
          </w:p>
        </w:tc>
        <w:tc>
          <w:tcPr>
            <w:tcW w:w="639" w:type="dxa"/>
            <w:tcBorders>
              <w:top w:val="single" w:sz="4" w:space="0" w:color="auto"/>
            </w:tcBorders>
          </w:tcPr>
          <w:p w:rsidR="003F789A" w:rsidRPr="00951BFC" w:rsidRDefault="003F789A" w:rsidP="00A75D5D">
            <w:pPr>
              <w:keepNext/>
              <w:spacing w:after="0" w:line="360" w:lineRule="auto"/>
              <w:rPr>
                <w:sz w:val="18"/>
                <w:szCs w:val="18"/>
                <w:lang w:val="en-US"/>
              </w:rPr>
            </w:pPr>
            <w:r w:rsidRPr="00951BFC">
              <w:rPr>
                <w:sz w:val="18"/>
                <w:szCs w:val="18"/>
                <w:lang w:val="en-US"/>
              </w:rPr>
              <w:t>16.1</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Physical use of land-/seascapes in different environmental settings</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4.7</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0.8</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27.5</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20.6</w:t>
            </w:r>
          </w:p>
        </w:tc>
      </w:tr>
      <w:tr w:rsidR="003F789A" w:rsidRPr="000A4766" w:rsidTr="00A75D5D">
        <w:tc>
          <w:tcPr>
            <w:tcW w:w="4019" w:type="dxa"/>
          </w:tcPr>
          <w:p w:rsidR="003F789A" w:rsidRPr="00951BFC" w:rsidRDefault="003F789A" w:rsidP="00A75D5D">
            <w:pPr>
              <w:tabs>
                <w:tab w:val="left" w:pos="1761"/>
              </w:tabs>
              <w:spacing w:after="0" w:line="360" w:lineRule="auto"/>
              <w:rPr>
                <w:rFonts w:cs="Adobe Devanagari"/>
                <w:sz w:val="18"/>
                <w:szCs w:val="18"/>
                <w:lang w:val="en-US"/>
              </w:rPr>
            </w:pPr>
            <w:r w:rsidRPr="00951BFC">
              <w:rPr>
                <w:rFonts w:cs="Adobe Devanagari"/>
                <w:sz w:val="18"/>
                <w:szCs w:val="18"/>
                <w:lang w:val="en-US"/>
              </w:rPr>
              <w:t>Educational</w:t>
            </w:r>
            <w:r w:rsidRPr="00951BFC">
              <w:rPr>
                <w:rFonts w:cs="Adobe Devanagari"/>
                <w:sz w:val="18"/>
                <w:szCs w:val="18"/>
                <w:lang w:val="en-US"/>
              </w:rPr>
              <w:tab/>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3.3</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1.4</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11.5</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12.0</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Heritage, cultural</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3.6</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1.4</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8.6</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11.5</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Aesthetic</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3.8</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1.3</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7.7</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9.9</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Provision of reared animals and their outputs</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2.7</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1.5</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5.1</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8.7</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Filtration/sequestration/storage/accumulation by micro-organisms, algae, plants, and animals</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3.8</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1.4</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5.4</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8.3</w:t>
            </w:r>
          </w:p>
        </w:tc>
      </w:tr>
      <w:tr w:rsidR="003F789A" w:rsidRPr="000A4766" w:rsidTr="00A75D5D">
        <w:tc>
          <w:tcPr>
            <w:tcW w:w="4019" w:type="dxa"/>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Global climate regulation by reduction of greenhouse gas concentrations</w:t>
            </w:r>
          </w:p>
        </w:tc>
        <w:tc>
          <w:tcPr>
            <w:tcW w:w="698" w:type="dxa"/>
          </w:tcPr>
          <w:p w:rsidR="003F789A" w:rsidRPr="00951BFC" w:rsidRDefault="003F789A" w:rsidP="00A75D5D">
            <w:pPr>
              <w:spacing w:after="0" w:line="360" w:lineRule="auto"/>
              <w:rPr>
                <w:sz w:val="18"/>
                <w:szCs w:val="18"/>
                <w:lang w:val="en-US"/>
              </w:rPr>
            </w:pPr>
            <w:r w:rsidRPr="00951BFC">
              <w:rPr>
                <w:sz w:val="18"/>
                <w:szCs w:val="18"/>
                <w:lang w:val="en-US"/>
              </w:rPr>
              <w:t>3.1</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1.7</w:t>
            </w:r>
          </w:p>
        </w:tc>
        <w:tc>
          <w:tcPr>
            <w:tcW w:w="778" w:type="dxa"/>
          </w:tcPr>
          <w:p w:rsidR="003F789A" w:rsidRPr="00951BFC" w:rsidRDefault="003F789A" w:rsidP="00A75D5D">
            <w:pPr>
              <w:spacing w:after="0" w:line="360" w:lineRule="auto"/>
              <w:rPr>
                <w:sz w:val="18"/>
                <w:szCs w:val="18"/>
                <w:lang w:val="en-US"/>
              </w:rPr>
            </w:pPr>
            <w:r w:rsidRPr="00951BFC">
              <w:rPr>
                <w:sz w:val="18"/>
                <w:szCs w:val="18"/>
                <w:lang w:val="en-US"/>
              </w:rPr>
              <w:t>5.0</w:t>
            </w:r>
          </w:p>
        </w:tc>
        <w:tc>
          <w:tcPr>
            <w:tcW w:w="639" w:type="dxa"/>
          </w:tcPr>
          <w:p w:rsidR="003F789A" w:rsidRPr="00951BFC" w:rsidRDefault="003F789A" w:rsidP="00A75D5D">
            <w:pPr>
              <w:spacing w:after="0" w:line="360" w:lineRule="auto"/>
              <w:rPr>
                <w:sz w:val="18"/>
                <w:szCs w:val="18"/>
                <w:lang w:val="en-US"/>
              </w:rPr>
            </w:pPr>
            <w:r w:rsidRPr="00951BFC">
              <w:rPr>
                <w:sz w:val="18"/>
                <w:szCs w:val="18"/>
                <w:lang w:val="en-US"/>
              </w:rPr>
              <w:t>8.0</w:t>
            </w:r>
          </w:p>
        </w:tc>
      </w:tr>
      <w:tr w:rsidR="003F789A" w:rsidRPr="000A4766" w:rsidTr="00A75D5D">
        <w:tc>
          <w:tcPr>
            <w:tcW w:w="4019" w:type="dxa"/>
            <w:tcBorders>
              <w:bottom w:val="single" w:sz="4" w:space="0" w:color="auto"/>
            </w:tcBorders>
          </w:tcPr>
          <w:p w:rsidR="003F789A" w:rsidRPr="00951BFC" w:rsidRDefault="003F789A" w:rsidP="00A75D5D">
            <w:pPr>
              <w:spacing w:after="0" w:line="360" w:lineRule="auto"/>
              <w:rPr>
                <w:rFonts w:cs="Adobe Devanagari"/>
                <w:sz w:val="18"/>
                <w:szCs w:val="18"/>
                <w:lang w:val="en-US"/>
              </w:rPr>
            </w:pPr>
            <w:r w:rsidRPr="00951BFC">
              <w:rPr>
                <w:rFonts w:cs="Adobe Devanagari"/>
                <w:sz w:val="18"/>
                <w:szCs w:val="18"/>
                <w:lang w:val="en-US"/>
              </w:rPr>
              <w:t>Maintaining nursery populations and habitats</w:t>
            </w:r>
          </w:p>
        </w:tc>
        <w:tc>
          <w:tcPr>
            <w:tcW w:w="698" w:type="dxa"/>
            <w:tcBorders>
              <w:bottom w:val="single" w:sz="4" w:space="0" w:color="auto"/>
            </w:tcBorders>
          </w:tcPr>
          <w:p w:rsidR="003F789A" w:rsidRPr="00951BFC" w:rsidRDefault="003F789A" w:rsidP="00A75D5D">
            <w:pPr>
              <w:spacing w:after="0" w:line="360" w:lineRule="auto"/>
              <w:rPr>
                <w:sz w:val="18"/>
                <w:szCs w:val="18"/>
                <w:lang w:val="en-US"/>
              </w:rPr>
            </w:pPr>
            <w:r w:rsidRPr="00951BFC">
              <w:rPr>
                <w:sz w:val="18"/>
                <w:szCs w:val="18"/>
                <w:lang w:val="en-US"/>
              </w:rPr>
              <w:t>4.2</w:t>
            </w:r>
          </w:p>
        </w:tc>
        <w:tc>
          <w:tcPr>
            <w:tcW w:w="778" w:type="dxa"/>
            <w:tcBorders>
              <w:bottom w:val="single" w:sz="4" w:space="0" w:color="auto"/>
            </w:tcBorders>
          </w:tcPr>
          <w:p w:rsidR="003F789A" w:rsidRPr="00951BFC" w:rsidRDefault="003F789A" w:rsidP="00A75D5D">
            <w:pPr>
              <w:spacing w:after="0" w:line="360" w:lineRule="auto"/>
              <w:rPr>
                <w:sz w:val="18"/>
                <w:szCs w:val="18"/>
                <w:lang w:val="en-US"/>
              </w:rPr>
            </w:pPr>
            <w:r w:rsidRPr="00951BFC">
              <w:rPr>
                <w:sz w:val="18"/>
                <w:szCs w:val="18"/>
                <w:lang w:val="en-US"/>
              </w:rPr>
              <w:t>1.1</w:t>
            </w:r>
          </w:p>
        </w:tc>
        <w:tc>
          <w:tcPr>
            <w:tcW w:w="778" w:type="dxa"/>
            <w:tcBorders>
              <w:bottom w:val="single" w:sz="4" w:space="0" w:color="auto"/>
            </w:tcBorders>
          </w:tcPr>
          <w:p w:rsidR="003F789A" w:rsidRPr="00951BFC" w:rsidRDefault="003F789A" w:rsidP="00A75D5D">
            <w:pPr>
              <w:spacing w:after="0" w:line="360" w:lineRule="auto"/>
              <w:rPr>
                <w:sz w:val="18"/>
                <w:szCs w:val="18"/>
                <w:lang w:val="en-US"/>
              </w:rPr>
            </w:pPr>
            <w:r w:rsidRPr="00951BFC">
              <w:rPr>
                <w:sz w:val="18"/>
                <w:szCs w:val="18"/>
                <w:lang w:val="en-US"/>
              </w:rPr>
              <w:t>12.3</w:t>
            </w:r>
          </w:p>
        </w:tc>
        <w:tc>
          <w:tcPr>
            <w:tcW w:w="639" w:type="dxa"/>
            <w:tcBorders>
              <w:bottom w:val="single" w:sz="4" w:space="0" w:color="auto"/>
            </w:tcBorders>
          </w:tcPr>
          <w:p w:rsidR="003F789A" w:rsidRPr="00951BFC" w:rsidRDefault="003F789A" w:rsidP="00A75D5D">
            <w:pPr>
              <w:spacing w:after="0" w:line="360" w:lineRule="auto"/>
              <w:rPr>
                <w:sz w:val="18"/>
                <w:szCs w:val="18"/>
                <w:lang w:val="en-US"/>
              </w:rPr>
            </w:pPr>
            <w:r w:rsidRPr="00951BFC">
              <w:rPr>
                <w:sz w:val="18"/>
                <w:szCs w:val="18"/>
                <w:lang w:val="en-US"/>
              </w:rPr>
              <w:t>13.3</w:t>
            </w:r>
          </w:p>
        </w:tc>
      </w:tr>
    </w:tbl>
    <w:p w:rsidR="003F789A" w:rsidRPr="000A4766" w:rsidRDefault="003F789A" w:rsidP="00A75D5D">
      <w:pPr>
        <w:spacing w:line="360" w:lineRule="auto"/>
        <w:rPr>
          <w:sz w:val="20"/>
          <w:lang w:val="en-US"/>
        </w:rPr>
      </w:pPr>
    </w:p>
    <w:p w:rsidR="003F789A" w:rsidRDefault="003F789A" w:rsidP="00A75D5D">
      <w:pPr>
        <w:spacing w:line="360" w:lineRule="auto"/>
        <w:rPr>
          <w:sz w:val="20"/>
          <w:lang w:val="en-US"/>
        </w:rPr>
      </w:pPr>
      <w:r w:rsidRPr="000A4766">
        <w:rPr>
          <w:sz w:val="20"/>
          <w:lang w:val="en-US"/>
        </w:rPr>
        <w:t>Medians of the rating and weighting values re</w:t>
      </w:r>
      <w:r w:rsidRPr="000A4766">
        <w:rPr>
          <w:sz w:val="20"/>
          <w:lang w:val="en-US"/>
        </w:rPr>
        <w:softHyphen/>
      </w:r>
      <w:r w:rsidRPr="000A4766">
        <w:rPr>
          <w:sz w:val="20"/>
          <w:lang w:val="en-US"/>
        </w:rPr>
        <w:softHyphen/>
        <w:t xml:space="preserve">veal fine differences between the clusters, but larger differences between applied valuation methods (Fig. 2). Rating scores across the sample are homogeneous and comparably high for all clusters. Cultural ES (mostly physical and experiential use of the landscape) and habitat services are most important to the people in all clusters, whereas the provision of food is found least important for the respondents on a personal level. </w:t>
      </w:r>
      <w:r w:rsidRPr="000A4766">
        <w:rPr>
          <w:sz w:val="20"/>
          <w:lang w:val="en-US"/>
        </w:rPr>
        <w:softHyphen/>
      </w:r>
      <w:r w:rsidRPr="000A4766">
        <w:rPr>
          <w:sz w:val="20"/>
          <w:lang w:val="en-US"/>
        </w:rPr>
        <w:softHyphen/>
      </w:r>
      <w:r w:rsidRPr="000A4766">
        <w:rPr>
          <w:sz w:val="20"/>
          <w:lang w:val="en-US"/>
        </w:rPr>
        <w:softHyphen/>
        <w:t xml:space="preserve"> Whereas Traditionalists and Multi-functionalists gave high to very high scores for all ES, Nature lovers and Forest enthusiasts considered education and food provision to be of low to medium importance</w:t>
      </w:r>
      <w:r>
        <w:rPr>
          <w:sz w:val="20"/>
          <w:lang w:val="en-US"/>
        </w:rPr>
        <w:t xml:space="preserve"> </w:t>
      </w:r>
      <w:r w:rsidRPr="000A4766">
        <w:rPr>
          <w:sz w:val="20"/>
          <w:lang w:val="en-US"/>
        </w:rPr>
        <w:t xml:space="preserve">for them personally. Recreation seekers considered food provision and carbon sequestration of low to medium importance.  </w:t>
      </w:r>
    </w:p>
    <w:p w:rsidR="003F789A" w:rsidRPr="000A4766" w:rsidRDefault="003F789A" w:rsidP="00A75D5D">
      <w:pPr>
        <w:spacing w:line="360" w:lineRule="auto"/>
        <w:rPr>
          <w:sz w:val="20"/>
          <w:lang w:val="en-US"/>
        </w:rPr>
      </w:pPr>
    </w:p>
    <w:p w:rsidR="003F789A" w:rsidRDefault="003F789A" w:rsidP="00A75D5D">
      <w:pPr>
        <w:spacing w:line="360" w:lineRule="auto"/>
        <w:rPr>
          <w:sz w:val="20"/>
          <w:lang w:val="en-US"/>
        </w:rPr>
      </w:pPr>
      <w:r w:rsidRPr="000A4766">
        <w:rPr>
          <w:sz w:val="20"/>
          <w:lang w:val="en-US"/>
        </w:rPr>
        <w:t xml:space="preserve">Weighting scores are more differentiated than rating results and show a similar, but more nuanced picture with regard to ES across all clusters. Physical use of the landscape is assigned the highest number of points in all clusters, the number of points being particularly high in the group of Recreation </w:t>
      </w:r>
      <w:r w:rsidRPr="000A4766">
        <w:rPr>
          <w:sz w:val="20"/>
          <w:lang w:val="en-US"/>
        </w:rPr>
        <w:lastRenderedPageBreak/>
        <w:t xml:space="preserve">seekers. Again, the experiential use of the landscape and habitat services are allocated the second and third highest amounts of points across all five clusters, indicating their relatively high importance to all respondents. Multi-functionalists and Forest enthusiasts allocate points across all ES, whereas Traditionalists, Nature lovers and Recreation seekers focus on fewer ES and allocate only small amounts of points to the other ES.   </w:t>
      </w:r>
    </w:p>
    <w:p w:rsidR="003F789A" w:rsidRPr="000A4766" w:rsidRDefault="003F789A" w:rsidP="00A75D5D">
      <w:pPr>
        <w:spacing w:line="360" w:lineRule="auto"/>
        <w:rPr>
          <w:sz w:val="20"/>
          <w:lang w:val="en-US"/>
        </w:rPr>
      </w:pPr>
    </w:p>
    <w:p w:rsidR="003F789A" w:rsidRPr="006D566F" w:rsidRDefault="003F789A" w:rsidP="00C221AF">
      <w:pPr>
        <w:pStyle w:val="ListParagraph"/>
        <w:spacing w:after="200"/>
        <w:ind w:left="0"/>
        <w:rPr>
          <w:rFonts w:ascii="Arial" w:hAnsi="Arial"/>
          <w:b/>
          <w:i/>
          <w:sz w:val="20"/>
        </w:rPr>
      </w:pPr>
      <w:proofErr w:type="spellStart"/>
      <w:r w:rsidRPr="006D566F">
        <w:rPr>
          <w:rFonts w:ascii="Arial" w:hAnsi="Arial"/>
          <w:b/>
          <w:i/>
          <w:sz w:val="20"/>
        </w:rPr>
        <w:t>Kruskal</w:t>
      </w:r>
      <w:proofErr w:type="spellEnd"/>
      <w:r w:rsidRPr="006D566F">
        <w:rPr>
          <w:rFonts w:ascii="Arial" w:hAnsi="Arial"/>
          <w:b/>
          <w:i/>
          <w:sz w:val="20"/>
        </w:rPr>
        <w:t>-Wallis rank sum test / Dunn’s test</w:t>
      </w:r>
    </w:p>
    <w:p w:rsidR="003F789A" w:rsidRPr="000A4766" w:rsidRDefault="003F789A" w:rsidP="00A75D5D">
      <w:pPr>
        <w:spacing w:after="0" w:line="360" w:lineRule="auto"/>
        <w:rPr>
          <w:sz w:val="20"/>
          <w:szCs w:val="18"/>
          <w:lang w:val="en-US"/>
        </w:rPr>
      </w:pPr>
      <w:proofErr w:type="spellStart"/>
      <w:r w:rsidRPr="000A4766">
        <w:rPr>
          <w:sz w:val="20"/>
          <w:szCs w:val="18"/>
          <w:lang w:val="en-US"/>
        </w:rPr>
        <w:t>Kruskal</w:t>
      </w:r>
      <w:proofErr w:type="spellEnd"/>
      <w:r w:rsidRPr="000A4766">
        <w:rPr>
          <w:sz w:val="20"/>
          <w:szCs w:val="18"/>
          <w:lang w:val="en-US"/>
        </w:rPr>
        <w:t xml:space="preserve">-Wallis rank sum test reveals that rating and weighting of ES are not identical between clusters. In the rating exercise, with the exception of education and mediation of pollutants, at least one cluster values ES significantly different from the other clusters across all ES (Table 3). Dunn’s test provides information about which clusters are distinguishable. As an example, whereas Nature lovers value the experiential use of nature very highly (mean value=4.38, group A), this service is significantly less important to Recreation seekers (mean value =3.91, group B) and Forest enthusiasts (mean value =3.90, group B). Traditionalists (mean value =4.19) and Multi-functionalists (mean value =4.11) lie in between both categories and thus overlap into group AB. Differences in the rating of education and mediation of pollutants are not significant between clusters.    </w:t>
      </w:r>
    </w:p>
    <w:p w:rsidR="003F789A" w:rsidRPr="000A4766" w:rsidRDefault="003F789A" w:rsidP="00951BFC">
      <w:pPr>
        <w:pStyle w:val="Caption"/>
        <w:rPr>
          <w:lang w:val="en-US"/>
        </w:rPr>
      </w:pPr>
      <w:r w:rsidRPr="00951BFC">
        <w:rPr>
          <w:lang w:val="en-US"/>
        </w:rPr>
        <w:t xml:space="preserve">Table </w:t>
      </w:r>
      <w:r w:rsidRPr="00951BFC">
        <w:rPr>
          <w:lang w:val="en-US"/>
        </w:rPr>
        <w:fldChar w:fldCharType="begin"/>
      </w:r>
      <w:r w:rsidRPr="00951BFC">
        <w:rPr>
          <w:lang w:val="en-US"/>
        </w:rPr>
        <w:instrText xml:space="preserve"> SEQ Tab. \* ARABIC </w:instrText>
      </w:r>
      <w:r w:rsidRPr="00951BFC">
        <w:rPr>
          <w:lang w:val="en-US"/>
        </w:rPr>
        <w:fldChar w:fldCharType="separate"/>
      </w:r>
      <w:r>
        <w:rPr>
          <w:noProof/>
          <w:lang w:val="en-US"/>
        </w:rPr>
        <w:t>3</w:t>
      </w:r>
      <w:r w:rsidRPr="00951BFC">
        <w:rPr>
          <w:lang w:val="en-US"/>
        </w:rPr>
        <w:fldChar w:fldCharType="end"/>
      </w:r>
      <w:r w:rsidRPr="00951BFC">
        <w:rPr>
          <w:lang w:val="en-US"/>
        </w:rPr>
        <w:t xml:space="preserve"> Results of </w:t>
      </w:r>
      <w:proofErr w:type="spellStart"/>
      <w:r w:rsidRPr="00951BFC">
        <w:rPr>
          <w:lang w:val="en-US"/>
        </w:rPr>
        <w:t>Kruskal</w:t>
      </w:r>
      <w:proofErr w:type="spellEnd"/>
      <w:r w:rsidRPr="00951BFC">
        <w:rPr>
          <w:lang w:val="en-US"/>
        </w:rPr>
        <w:t>-Wallis rank sum test and post-hoc Dunn’s test to examine how rating of ecosystem services differs between clusters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8"/>
        <w:gridCol w:w="1110"/>
        <w:gridCol w:w="608"/>
        <w:gridCol w:w="479"/>
        <w:gridCol w:w="851"/>
        <w:gridCol w:w="992"/>
        <w:gridCol w:w="851"/>
        <w:gridCol w:w="142"/>
        <w:gridCol w:w="850"/>
        <w:gridCol w:w="142"/>
        <w:gridCol w:w="850"/>
      </w:tblGrid>
      <w:tr w:rsidR="003F789A" w:rsidRPr="00951BFC" w:rsidTr="00951BFC">
        <w:tc>
          <w:tcPr>
            <w:tcW w:w="1739" w:type="dxa"/>
            <w:vMerge w:val="restart"/>
            <w:tcBorders>
              <w:left w:val="nil"/>
              <w:right w:val="nil"/>
            </w:tcBorders>
            <w:vAlign w:val="center"/>
          </w:tcPr>
          <w:p w:rsidR="003F789A" w:rsidRPr="00951BFC" w:rsidRDefault="003F789A" w:rsidP="00951BFC">
            <w:pPr>
              <w:spacing w:after="0" w:line="240" w:lineRule="auto"/>
              <w:jc w:val="center"/>
              <w:rPr>
                <w:b/>
                <w:bCs/>
                <w:sz w:val="18"/>
                <w:szCs w:val="18"/>
                <w:lang w:val="en-US"/>
              </w:rPr>
            </w:pPr>
            <w:r w:rsidRPr="00951BFC">
              <w:rPr>
                <w:b/>
                <w:bCs/>
                <w:sz w:val="18"/>
                <w:szCs w:val="18"/>
                <w:lang w:val="en-US"/>
              </w:rPr>
              <w:t>Ecosystem services</w:t>
            </w:r>
          </w:p>
        </w:tc>
        <w:tc>
          <w:tcPr>
            <w:tcW w:w="2197" w:type="dxa"/>
            <w:gridSpan w:val="3"/>
            <w:tcBorders>
              <w:left w:val="nil"/>
              <w:bottom w:val="nil"/>
              <w:right w:val="nil"/>
            </w:tcBorders>
          </w:tcPr>
          <w:p w:rsidR="003F789A" w:rsidRPr="00951BFC" w:rsidRDefault="003F789A" w:rsidP="00951BFC">
            <w:pPr>
              <w:spacing w:after="0" w:line="240" w:lineRule="auto"/>
              <w:jc w:val="center"/>
              <w:rPr>
                <w:b/>
                <w:bCs/>
                <w:sz w:val="18"/>
                <w:szCs w:val="18"/>
                <w:lang w:val="en-US"/>
              </w:rPr>
            </w:pPr>
            <w:proofErr w:type="spellStart"/>
            <w:r w:rsidRPr="00951BFC">
              <w:rPr>
                <w:b/>
                <w:bCs/>
                <w:sz w:val="18"/>
                <w:szCs w:val="18"/>
                <w:lang w:val="en-US"/>
              </w:rPr>
              <w:t>Kruskal</w:t>
            </w:r>
            <w:proofErr w:type="spellEnd"/>
            <w:r w:rsidRPr="00951BFC">
              <w:rPr>
                <w:b/>
                <w:bCs/>
                <w:sz w:val="18"/>
                <w:szCs w:val="18"/>
                <w:lang w:val="en-US"/>
              </w:rPr>
              <w:t>-Wallis ranks sum test</w:t>
            </w:r>
          </w:p>
        </w:tc>
        <w:tc>
          <w:tcPr>
            <w:tcW w:w="4677" w:type="dxa"/>
            <w:gridSpan w:val="7"/>
            <w:tcBorders>
              <w:left w:val="nil"/>
              <w:bottom w:val="nil"/>
              <w:right w:val="nil"/>
            </w:tcBorders>
          </w:tcPr>
          <w:p w:rsidR="003F789A" w:rsidRPr="00951BFC" w:rsidRDefault="003F789A" w:rsidP="00951BFC">
            <w:pPr>
              <w:spacing w:after="0" w:line="240" w:lineRule="auto"/>
              <w:ind w:left="360"/>
              <w:jc w:val="center"/>
              <w:rPr>
                <w:b/>
                <w:bCs/>
                <w:sz w:val="18"/>
                <w:szCs w:val="18"/>
                <w:lang w:val="en-US"/>
              </w:rPr>
            </w:pPr>
            <w:r w:rsidRPr="00951BFC">
              <w:rPr>
                <w:b/>
                <w:bCs/>
                <w:sz w:val="18"/>
                <w:szCs w:val="18"/>
                <w:lang w:val="en-US"/>
              </w:rPr>
              <w:t>Dunn’s test for rating of ES</w:t>
            </w:r>
          </w:p>
        </w:tc>
      </w:tr>
      <w:tr w:rsidR="003F789A" w:rsidRPr="00951BFC" w:rsidTr="00951BFC">
        <w:trPr>
          <w:trHeight w:val="400"/>
        </w:trPr>
        <w:tc>
          <w:tcPr>
            <w:tcW w:w="1739" w:type="dxa"/>
            <w:vMerge/>
            <w:tcBorders>
              <w:left w:val="nil"/>
              <w:right w:val="nil"/>
            </w:tcBorders>
          </w:tcPr>
          <w:p w:rsidR="003F789A" w:rsidRPr="00951BFC" w:rsidRDefault="003F789A" w:rsidP="00951BFC">
            <w:pPr>
              <w:spacing w:after="0" w:line="240" w:lineRule="auto"/>
              <w:ind w:left="360"/>
              <w:rPr>
                <w:sz w:val="18"/>
                <w:szCs w:val="18"/>
                <w:lang w:val="en-US"/>
              </w:rPr>
            </w:pPr>
          </w:p>
        </w:tc>
        <w:tc>
          <w:tcPr>
            <w:tcW w:w="2197" w:type="dxa"/>
            <w:gridSpan w:val="3"/>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Mean rating</w:t>
            </w:r>
          </w:p>
        </w:tc>
        <w:tc>
          <w:tcPr>
            <w:tcW w:w="850" w:type="dxa"/>
            <w:tcBorders>
              <w:top w:val="nil"/>
              <w:left w:val="nil"/>
              <w:bottom w:val="nil"/>
              <w:right w:val="nil"/>
            </w:tcBorders>
            <w:vAlign w:val="center"/>
          </w:tcPr>
          <w:p w:rsidR="003F789A" w:rsidRPr="00951BFC" w:rsidRDefault="003F789A" w:rsidP="00951BFC">
            <w:pPr>
              <w:spacing w:after="0" w:line="240" w:lineRule="auto"/>
              <w:jc w:val="center"/>
              <w:rPr>
                <w:bCs/>
                <w:sz w:val="16"/>
                <w:szCs w:val="16"/>
                <w:lang w:val="en-US"/>
              </w:rPr>
            </w:pPr>
            <w:r w:rsidRPr="00951BFC">
              <w:rPr>
                <w:bCs/>
                <w:sz w:val="16"/>
                <w:szCs w:val="16"/>
                <w:lang w:val="en-US"/>
              </w:rPr>
              <w:t>Cluster 1</w:t>
            </w:r>
          </w:p>
          <w:p w:rsidR="003F789A" w:rsidRPr="00951BFC" w:rsidRDefault="003F789A" w:rsidP="00951BFC">
            <w:pPr>
              <w:spacing w:after="0" w:line="240" w:lineRule="auto"/>
              <w:jc w:val="center"/>
              <w:rPr>
                <w:bCs/>
                <w:sz w:val="16"/>
                <w:szCs w:val="16"/>
                <w:lang w:val="en-US"/>
              </w:rPr>
            </w:pPr>
            <w:r w:rsidRPr="00951BFC">
              <w:rPr>
                <w:bCs/>
                <w:sz w:val="16"/>
                <w:szCs w:val="16"/>
                <w:lang w:val="en-US"/>
              </w:rPr>
              <w:t>Traditionalists</w:t>
            </w:r>
          </w:p>
        </w:tc>
        <w:tc>
          <w:tcPr>
            <w:tcW w:w="992" w:type="dxa"/>
            <w:tcBorders>
              <w:top w:val="nil"/>
              <w:left w:val="nil"/>
              <w:bottom w:val="nil"/>
              <w:right w:val="nil"/>
            </w:tcBorders>
            <w:vAlign w:val="center"/>
          </w:tcPr>
          <w:p w:rsidR="003F789A" w:rsidRPr="00951BFC" w:rsidRDefault="003F789A" w:rsidP="00951BFC">
            <w:pPr>
              <w:spacing w:after="0" w:line="240" w:lineRule="auto"/>
              <w:jc w:val="center"/>
              <w:rPr>
                <w:bCs/>
                <w:sz w:val="16"/>
                <w:szCs w:val="16"/>
                <w:lang w:val="en-US"/>
              </w:rPr>
            </w:pPr>
            <w:r w:rsidRPr="00951BFC">
              <w:rPr>
                <w:bCs/>
                <w:sz w:val="16"/>
                <w:szCs w:val="16"/>
                <w:lang w:val="en-US"/>
              </w:rPr>
              <w:t>Cluster 2</w:t>
            </w:r>
          </w:p>
          <w:p w:rsidR="003F789A" w:rsidRPr="00951BFC" w:rsidRDefault="003F789A" w:rsidP="00951BFC">
            <w:pPr>
              <w:spacing w:after="0" w:line="240" w:lineRule="auto"/>
              <w:jc w:val="center"/>
              <w:rPr>
                <w:bCs/>
                <w:sz w:val="16"/>
                <w:szCs w:val="16"/>
                <w:lang w:val="en-US"/>
              </w:rPr>
            </w:pPr>
            <w:r w:rsidRPr="00951BFC">
              <w:rPr>
                <w:bCs/>
                <w:sz w:val="16"/>
                <w:szCs w:val="16"/>
                <w:lang w:val="en-US"/>
              </w:rPr>
              <w:t>Multi-functionalists</w:t>
            </w:r>
          </w:p>
        </w:tc>
        <w:tc>
          <w:tcPr>
            <w:tcW w:w="993" w:type="dxa"/>
            <w:gridSpan w:val="2"/>
            <w:tcBorders>
              <w:top w:val="nil"/>
              <w:left w:val="nil"/>
              <w:bottom w:val="nil"/>
              <w:right w:val="nil"/>
            </w:tcBorders>
            <w:vAlign w:val="center"/>
          </w:tcPr>
          <w:p w:rsidR="003F789A" w:rsidRPr="00951BFC" w:rsidRDefault="003F789A" w:rsidP="00951BFC">
            <w:pPr>
              <w:spacing w:after="0" w:line="240" w:lineRule="auto"/>
              <w:jc w:val="center"/>
              <w:rPr>
                <w:bCs/>
                <w:sz w:val="16"/>
                <w:szCs w:val="16"/>
                <w:lang w:val="en-US"/>
              </w:rPr>
            </w:pPr>
            <w:r w:rsidRPr="00951BFC">
              <w:rPr>
                <w:bCs/>
                <w:sz w:val="16"/>
                <w:szCs w:val="16"/>
                <w:lang w:val="en-US"/>
              </w:rPr>
              <w:t>Cluster 3</w:t>
            </w:r>
          </w:p>
          <w:p w:rsidR="003F789A" w:rsidRPr="00951BFC" w:rsidRDefault="003F789A" w:rsidP="00951BFC">
            <w:pPr>
              <w:spacing w:after="0" w:line="240" w:lineRule="auto"/>
              <w:jc w:val="center"/>
              <w:rPr>
                <w:bCs/>
                <w:sz w:val="16"/>
                <w:szCs w:val="16"/>
                <w:lang w:val="en-US"/>
              </w:rPr>
            </w:pPr>
            <w:r w:rsidRPr="00951BFC">
              <w:rPr>
                <w:bCs/>
                <w:sz w:val="16"/>
                <w:szCs w:val="16"/>
                <w:lang w:val="en-US"/>
              </w:rPr>
              <w:t xml:space="preserve">Nature </w:t>
            </w:r>
          </w:p>
          <w:p w:rsidR="003F789A" w:rsidRPr="00951BFC" w:rsidRDefault="003F789A" w:rsidP="00951BFC">
            <w:pPr>
              <w:spacing w:after="0" w:line="240" w:lineRule="auto"/>
              <w:jc w:val="center"/>
              <w:rPr>
                <w:bCs/>
                <w:sz w:val="16"/>
                <w:szCs w:val="16"/>
                <w:lang w:val="en-US"/>
              </w:rPr>
            </w:pPr>
            <w:r w:rsidRPr="00951BFC">
              <w:rPr>
                <w:bCs/>
                <w:sz w:val="16"/>
                <w:szCs w:val="16"/>
                <w:lang w:val="en-US"/>
              </w:rPr>
              <w:t>lovers</w:t>
            </w:r>
          </w:p>
        </w:tc>
        <w:tc>
          <w:tcPr>
            <w:tcW w:w="850" w:type="dxa"/>
            <w:tcBorders>
              <w:top w:val="nil"/>
              <w:left w:val="nil"/>
              <w:bottom w:val="nil"/>
              <w:right w:val="nil"/>
            </w:tcBorders>
            <w:vAlign w:val="center"/>
          </w:tcPr>
          <w:p w:rsidR="003F789A" w:rsidRPr="00951BFC" w:rsidRDefault="003F789A" w:rsidP="00951BFC">
            <w:pPr>
              <w:spacing w:after="0" w:line="240" w:lineRule="auto"/>
              <w:jc w:val="center"/>
              <w:rPr>
                <w:bCs/>
                <w:sz w:val="16"/>
                <w:szCs w:val="16"/>
                <w:lang w:val="en-US"/>
              </w:rPr>
            </w:pPr>
            <w:r w:rsidRPr="00951BFC">
              <w:rPr>
                <w:bCs/>
                <w:sz w:val="16"/>
                <w:szCs w:val="16"/>
                <w:lang w:val="en-US"/>
              </w:rPr>
              <w:t>Cluster 4</w:t>
            </w:r>
          </w:p>
          <w:p w:rsidR="003F789A" w:rsidRPr="00951BFC" w:rsidRDefault="003F789A" w:rsidP="00951BFC">
            <w:pPr>
              <w:spacing w:after="0" w:line="240" w:lineRule="auto"/>
              <w:jc w:val="center"/>
              <w:rPr>
                <w:bCs/>
                <w:sz w:val="16"/>
                <w:szCs w:val="16"/>
                <w:lang w:val="en-US"/>
              </w:rPr>
            </w:pPr>
            <w:r w:rsidRPr="00951BFC">
              <w:rPr>
                <w:bCs/>
                <w:sz w:val="16"/>
                <w:szCs w:val="16"/>
                <w:lang w:val="en-US"/>
              </w:rPr>
              <w:t>Recreation seekers</w:t>
            </w:r>
          </w:p>
        </w:tc>
        <w:tc>
          <w:tcPr>
            <w:tcW w:w="992" w:type="dxa"/>
            <w:gridSpan w:val="2"/>
            <w:tcBorders>
              <w:top w:val="nil"/>
              <w:left w:val="nil"/>
              <w:bottom w:val="nil"/>
              <w:right w:val="nil"/>
            </w:tcBorders>
            <w:vAlign w:val="center"/>
          </w:tcPr>
          <w:p w:rsidR="003F789A" w:rsidRPr="00951BFC" w:rsidRDefault="003F789A" w:rsidP="00951BFC">
            <w:pPr>
              <w:spacing w:after="0" w:line="240" w:lineRule="auto"/>
              <w:jc w:val="center"/>
              <w:rPr>
                <w:bCs/>
                <w:sz w:val="16"/>
                <w:szCs w:val="16"/>
                <w:lang w:val="en-US"/>
              </w:rPr>
            </w:pPr>
            <w:r w:rsidRPr="00951BFC">
              <w:rPr>
                <w:bCs/>
                <w:sz w:val="16"/>
                <w:szCs w:val="16"/>
                <w:lang w:val="en-US"/>
              </w:rPr>
              <w:t>Cluster 5</w:t>
            </w:r>
          </w:p>
          <w:p w:rsidR="003F789A" w:rsidRPr="00951BFC" w:rsidRDefault="003F789A" w:rsidP="00951BFC">
            <w:pPr>
              <w:spacing w:after="0" w:line="240" w:lineRule="auto"/>
              <w:ind w:right="-108"/>
              <w:jc w:val="center"/>
              <w:rPr>
                <w:bCs/>
                <w:sz w:val="16"/>
                <w:szCs w:val="16"/>
                <w:lang w:val="en-US"/>
              </w:rPr>
            </w:pPr>
            <w:r w:rsidRPr="00951BFC">
              <w:rPr>
                <w:bCs/>
                <w:sz w:val="16"/>
                <w:szCs w:val="16"/>
                <w:lang w:val="en-US"/>
              </w:rPr>
              <w:t>Forest enthusiasts</w:t>
            </w:r>
          </w:p>
        </w:tc>
      </w:tr>
      <w:tr w:rsidR="003F789A" w:rsidRPr="00951BFC" w:rsidTr="00951BFC">
        <w:trPr>
          <w:trHeight w:val="278"/>
        </w:trPr>
        <w:tc>
          <w:tcPr>
            <w:tcW w:w="1739" w:type="dxa"/>
            <w:vMerge/>
            <w:tcBorders>
              <w:left w:val="nil"/>
              <w:right w:val="nil"/>
            </w:tcBorders>
          </w:tcPr>
          <w:p w:rsidR="003F789A" w:rsidRPr="00951BFC" w:rsidRDefault="003F789A" w:rsidP="00951BFC">
            <w:pPr>
              <w:spacing w:after="0" w:line="240" w:lineRule="auto"/>
              <w:ind w:left="360"/>
              <w:rPr>
                <w:sz w:val="18"/>
                <w:szCs w:val="18"/>
              </w:rPr>
            </w:pPr>
          </w:p>
        </w:tc>
        <w:tc>
          <w:tcPr>
            <w:tcW w:w="1110" w:type="dxa"/>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P-value</w:t>
            </w:r>
          </w:p>
        </w:tc>
        <w:tc>
          <w:tcPr>
            <w:tcW w:w="608" w:type="dxa"/>
            <w:tcBorders>
              <w:top w:val="nil"/>
              <w:left w:val="nil"/>
              <w:right w:val="nil"/>
            </w:tcBorders>
            <w:vAlign w:val="center"/>
          </w:tcPr>
          <w:p w:rsidR="003F789A" w:rsidRPr="00951BFC" w:rsidRDefault="003F789A" w:rsidP="00951BFC">
            <w:pPr>
              <w:spacing w:after="0" w:line="240" w:lineRule="auto"/>
              <w:jc w:val="center"/>
              <w:rPr>
                <w:bCs/>
                <w:sz w:val="18"/>
                <w:szCs w:val="18"/>
                <w:vertAlign w:val="superscript"/>
                <w:lang w:val="en-US"/>
              </w:rPr>
            </w:pPr>
            <w:r w:rsidRPr="00951BFC">
              <w:rPr>
                <w:bCs/>
                <w:sz w:val="18"/>
                <w:szCs w:val="18"/>
                <w:lang w:val="en-US"/>
              </w:rPr>
              <w:t>Chi</w:t>
            </w:r>
            <w:r w:rsidRPr="00951BFC">
              <w:rPr>
                <w:bCs/>
                <w:sz w:val="18"/>
                <w:szCs w:val="18"/>
                <w:vertAlign w:val="superscript"/>
                <w:lang w:val="en-US"/>
              </w:rPr>
              <w:t>2</w:t>
            </w:r>
          </w:p>
        </w:tc>
        <w:tc>
          <w:tcPr>
            <w:tcW w:w="479" w:type="dxa"/>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proofErr w:type="spellStart"/>
            <w:r w:rsidRPr="00951BFC">
              <w:rPr>
                <w:bCs/>
                <w:sz w:val="18"/>
                <w:szCs w:val="18"/>
                <w:lang w:val="en-US"/>
              </w:rPr>
              <w:t>df</w:t>
            </w:r>
            <w:proofErr w:type="spellEnd"/>
          </w:p>
        </w:tc>
        <w:tc>
          <w:tcPr>
            <w:tcW w:w="4677" w:type="dxa"/>
            <w:gridSpan w:val="7"/>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Groups</w:t>
            </w:r>
          </w:p>
        </w:tc>
      </w:tr>
      <w:tr w:rsidR="003F789A" w:rsidRPr="00951BFC" w:rsidTr="00951BFC">
        <w:tc>
          <w:tcPr>
            <w:tcW w:w="1739" w:type="dxa"/>
            <w:tcBorders>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Experiential use of nature</w:t>
            </w:r>
          </w:p>
        </w:tc>
        <w:tc>
          <w:tcPr>
            <w:tcW w:w="1110" w:type="dxa"/>
            <w:tcBorders>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0.003579</w:t>
            </w:r>
          </w:p>
        </w:tc>
        <w:tc>
          <w:tcPr>
            <w:tcW w:w="608" w:type="dxa"/>
            <w:tcBorders>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15.617</w:t>
            </w:r>
          </w:p>
        </w:tc>
        <w:tc>
          <w:tcPr>
            <w:tcW w:w="479" w:type="dxa"/>
            <w:tcBorders>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991" w:type="dxa"/>
            <w:tcBorders>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1" w:type="dxa"/>
            <w:tcBorders>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c>
          <w:tcPr>
            <w:tcW w:w="850" w:type="dxa"/>
            <w:tcBorders>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Physical use of nature</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0.006059</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14.424</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Education</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0.2804</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5.0674</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Cultural and natural history</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0.01766</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11.959</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Aesthetics/Sense of place</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0.0001783</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22.256</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Food provision</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0.0009578</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18.562</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BC</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C</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Mediation of pollutants</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0.1604</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6.5705</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r>
      <w:tr w:rsidR="003F789A" w:rsidRPr="00951BFC" w:rsidTr="00951BFC">
        <w:tc>
          <w:tcPr>
            <w:tcW w:w="173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bCs/>
                <w:sz w:val="18"/>
                <w:szCs w:val="18"/>
              </w:rPr>
              <w:t>Carbon sequestration</w:t>
            </w:r>
          </w:p>
        </w:tc>
        <w:tc>
          <w:tcPr>
            <w:tcW w:w="1110"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0.01338</w:t>
            </w:r>
          </w:p>
        </w:tc>
        <w:tc>
          <w:tcPr>
            <w:tcW w:w="608"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12.604</w:t>
            </w:r>
          </w:p>
        </w:tc>
        <w:tc>
          <w:tcPr>
            <w:tcW w:w="479" w:type="dxa"/>
            <w:tcBorders>
              <w:top w:val="nil"/>
              <w:left w:val="nil"/>
              <w:bottom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99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c>
          <w:tcPr>
            <w:tcW w:w="1134" w:type="dxa"/>
            <w:gridSpan w:val="3"/>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c>
          <w:tcPr>
            <w:tcW w:w="850" w:type="dxa"/>
            <w:tcBorders>
              <w:top w:val="nil"/>
              <w:left w:val="nil"/>
              <w:bottom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r>
      <w:tr w:rsidR="003F789A" w:rsidRPr="00951BFC" w:rsidTr="00951BFC">
        <w:tc>
          <w:tcPr>
            <w:tcW w:w="1739" w:type="dxa"/>
            <w:tcBorders>
              <w:top w:val="nil"/>
              <w:left w:val="nil"/>
              <w:right w:val="nil"/>
            </w:tcBorders>
          </w:tcPr>
          <w:p w:rsidR="003F789A" w:rsidRPr="00951BFC" w:rsidRDefault="003F789A" w:rsidP="00951BFC">
            <w:pPr>
              <w:spacing w:after="0" w:line="240" w:lineRule="auto"/>
              <w:jc w:val="center"/>
              <w:rPr>
                <w:sz w:val="18"/>
                <w:szCs w:val="18"/>
              </w:rPr>
            </w:pPr>
            <w:r w:rsidRPr="00951BFC">
              <w:rPr>
                <w:bCs/>
                <w:sz w:val="18"/>
                <w:szCs w:val="18"/>
              </w:rPr>
              <w:t>Habitat/biodiversity</w:t>
            </w:r>
          </w:p>
        </w:tc>
        <w:tc>
          <w:tcPr>
            <w:tcW w:w="1110" w:type="dxa"/>
            <w:tcBorders>
              <w:top w:val="nil"/>
              <w:left w:val="nil"/>
              <w:right w:val="nil"/>
            </w:tcBorders>
          </w:tcPr>
          <w:p w:rsidR="003F789A" w:rsidRPr="00951BFC" w:rsidRDefault="003F789A" w:rsidP="00951BFC">
            <w:pPr>
              <w:spacing w:after="0" w:line="240" w:lineRule="auto"/>
              <w:jc w:val="center"/>
              <w:rPr>
                <w:sz w:val="18"/>
                <w:szCs w:val="18"/>
              </w:rPr>
            </w:pPr>
            <w:r w:rsidRPr="00951BFC">
              <w:rPr>
                <w:sz w:val="18"/>
                <w:szCs w:val="18"/>
              </w:rPr>
              <w:t>0.009658</w:t>
            </w:r>
          </w:p>
        </w:tc>
        <w:tc>
          <w:tcPr>
            <w:tcW w:w="608" w:type="dxa"/>
            <w:tcBorders>
              <w:top w:val="nil"/>
              <w:left w:val="nil"/>
              <w:right w:val="nil"/>
            </w:tcBorders>
          </w:tcPr>
          <w:p w:rsidR="003F789A" w:rsidRPr="00951BFC" w:rsidRDefault="003F789A" w:rsidP="00951BFC">
            <w:pPr>
              <w:spacing w:after="0" w:line="240" w:lineRule="auto"/>
              <w:jc w:val="center"/>
              <w:rPr>
                <w:sz w:val="18"/>
                <w:szCs w:val="18"/>
              </w:rPr>
            </w:pPr>
            <w:r w:rsidRPr="00951BFC">
              <w:rPr>
                <w:sz w:val="18"/>
                <w:szCs w:val="18"/>
              </w:rPr>
              <w:t>13.357</w:t>
            </w:r>
          </w:p>
        </w:tc>
        <w:tc>
          <w:tcPr>
            <w:tcW w:w="479" w:type="dxa"/>
            <w:tcBorders>
              <w:top w:val="nil"/>
              <w:left w:val="nil"/>
              <w:right w:val="nil"/>
            </w:tcBorders>
          </w:tcPr>
          <w:p w:rsidR="003F789A" w:rsidRPr="00951BFC" w:rsidRDefault="003F789A" w:rsidP="00951BFC">
            <w:pPr>
              <w:spacing w:after="0" w:line="240" w:lineRule="auto"/>
              <w:jc w:val="center"/>
              <w:rPr>
                <w:sz w:val="18"/>
                <w:szCs w:val="18"/>
              </w:rPr>
            </w:pPr>
            <w:r w:rsidRPr="00951BFC">
              <w:rPr>
                <w:sz w:val="18"/>
                <w:szCs w:val="18"/>
              </w:rPr>
              <w:t>4</w:t>
            </w:r>
          </w:p>
        </w:tc>
        <w:tc>
          <w:tcPr>
            <w:tcW w:w="851" w:type="dxa"/>
            <w:tcBorders>
              <w:top w:val="nil"/>
              <w:left w:val="nil"/>
              <w:right w:val="nil"/>
            </w:tcBorders>
            <w:vAlign w:val="center"/>
          </w:tcPr>
          <w:p w:rsidR="003F789A" w:rsidRPr="00951BFC" w:rsidRDefault="003F789A" w:rsidP="00951BFC">
            <w:pPr>
              <w:spacing w:line="240" w:lineRule="auto"/>
              <w:jc w:val="center"/>
              <w:rPr>
                <w:sz w:val="18"/>
                <w:szCs w:val="18"/>
              </w:rPr>
            </w:pPr>
            <w:r w:rsidRPr="00951BFC">
              <w:rPr>
                <w:sz w:val="18"/>
                <w:szCs w:val="18"/>
              </w:rPr>
              <w:t>B</w:t>
            </w:r>
          </w:p>
        </w:tc>
        <w:tc>
          <w:tcPr>
            <w:tcW w:w="991" w:type="dxa"/>
            <w:tcBorders>
              <w:top w:val="nil"/>
              <w:left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1" w:type="dxa"/>
            <w:tcBorders>
              <w:top w:val="nil"/>
              <w:left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AB</w:t>
            </w:r>
          </w:p>
        </w:tc>
        <w:tc>
          <w:tcPr>
            <w:tcW w:w="1134" w:type="dxa"/>
            <w:gridSpan w:val="3"/>
            <w:tcBorders>
              <w:top w:val="nil"/>
              <w:left w:val="nil"/>
              <w:right w:val="nil"/>
            </w:tcBorders>
            <w:vAlign w:val="center"/>
          </w:tcPr>
          <w:p w:rsidR="003F789A" w:rsidRPr="00951BFC" w:rsidRDefault="003F789A" w:rsidP="00951BFC">
            <w:pPr>
              <w:spacing w:line="240" w:lineRule="auto"/>
              <w:jc w:val="center"/>
              <w:rPr>
                <w:sz w:val="18"/>
                <w:szCs w:val="18"/>
              </w:rPr>
            </w:pPr>
            <w:r w:rsidRPr="00951BFC">
              <w:rPr>
                <w:sz w:val="18"/>
                <w:szCs w:val="18"/>
              </w:rPr>
              <w:t>A</w:t>
            </w:r>
          </w:p>
        </w:tc>
        <w:tc>
          <w:tcPr>
            <w:tcW w:w="850" w:type="dxa"/>
            <w:tcBorders>
              <w:top w:val="nil"/>
              <w:left w:val="nil"/>
              <w:right w:val="nil"/>
            </w:tcBorders>
            <w:vAlign w:val="center"/>
          </w:tcPr>
          <w:p w:rsidR="003F789A" w:rsidRPr="00951BFC" w:rsidRDefault="003F789A" w:rsidP="00951BFC">
            <w:pPr>
              <w:keepNext/>
              <w:spacing w:line="240" w:lineRule="auto"/>
              <w:jc w:val="center"/>
              <w:rPr>
                <w:sz w:val="18"/>
                <w:szCs w:val="18"/>
              </w:rPr>
            </w:pPr>
            <w:r w:rsidRPr="00951BFC">
              <w:rPr>
                <w:sz w:val="18"/>
                <w:szCs w:val="18"/>
              </w:rPr>
              <w:t>AB</w:t>
            </w:r>
          </w:p>
        </w:tc>
      </w:tr>
    </w:tbl>
    <w:p w:rsidR="003F789A" w:rsidRDefault="003F789A" w:rsidP="00A75D5D">
      <w:pPr>
        <w:spacing w:after="0" w:line="360" w:lineRule="auto"/>
        <w:rPr>
          <w:sz w:val="20"/>
          <w:szCs w:val="18"/>
          <w:lang w:val="en-US"/>
        </w:rPr>
      </w:pPr>
    </w:p>
    <w:p w:rsidR="003F789A" w:rsidRDefault="003F789A" w:rsidP="00A75D5D">
      <w:pPr>
        <w:spacing w:after="0" w:line="360" w:lineRule="auto"/>
        <w:rPr>
          <w:sz w:val="20"/>
          <w:szCs w:val="18"/>
          <w:lang w:val="en-US"/>
        </w:rPr>
      </w:pPr>
      <w:r w:rsidRPr="000A4766">
        <w:rPr>
          <w:sz w:val="20"/>
          <w:szCs w:val="18"/>
          <w:lang w:val="en-US"/>
        </w:rPr>
        <w:t xml:space="preserve">Regarding the weighting exercise that required the allocation of 100 points across all ES, we find significant differences in the weighting of ES between clusters (Table 4) compared with the rating exercise. The results suggest that the weights placed on experiential use of nature, aesthetics/sense </w:t>
      </w:r>
      <w:r w:rsidRPr="000A4766">
        <w:rPr>
          <w:sz w:val="20"/>
          <w:szCs w:val="18"/>
          <w:lang w:val="en-US"/>
        </w:rPr>
        <w:lastRenderedPageBreak/>
        <w:t xml:space="preserve">of place, mediation of pollutants, carbon sequestration and habitat/biodiversity vary significantly across clusters, whereas weights for the physical use of nature, education, cultural and natural history, and food provision are not significantly different across groups with different landscape preferences. </w:t>
      </w:r>
    </w:p>
    <w:p w:rsidR="003F789A" w:rsidRPr="000A4766" w:rsidRDefault="003F789A" w:rsidP="00951BFC">
      <w:pPr>
        <w:pStyle w:val="Caption"/>
        <w:rPr>
          <w:szCs w:val="18"/>
          <w:lang w:val="en-US"/>
        </w:rPr>
      </w:pPr>
      <w:r w:rsidRPr="000A4766">
        <w:rPr>
          <w:lang w:val="en-US"/>
        </w:rPr>
        <w:t xml:space="preserve">Table </w:t>
      </w:r>
      <w:r w:rsidRPr="000A4766">
        <w:rPr>
          <w:lang w:val="en-US"/>
        </w:rPr>
        <w:fldChar w:fldCharType="begin"/>
      </w:r>
      <w:r w:rsidRPr="000A4766">
        <w:rPr>
          <w:lang w:val="en-US"/>
        </w:rPr>
        <w:instrText xml:space="preserve"> SEQ Tab. \* ARABIC </w:instrText>
      </w:r>
      <w:r w:rsidRPr="000A4766">
        <w:rPr>
          <w:lang w:val="en-US"/>
        </w:rPr>
        <w:fldChar w:fldCharType="separate"/>
      </w:r>
      <w:r>
        <w:rPr>
          <w:noProof/>
          <w:lang w:val="en-US"/>
        </w:rPr>
        <w:t>4</w:t>
      </w:r>
      <w:r w:rsidRPr="000A4766">
        <w:rPr>
          <w:lang w:val="en-US"/>
        </w:rPr>
        <w:fldChar w:fldCharType="end"/>
      </w:r>
      <w:r w:rsidRPr="000A4766">
        <w:rPr>
          <w:lang w:val="en-US"/>
        </w:rPr>
        <w:t xml:space="preserve"> Results of </w:t>
      </w:r>
      <w:proofErr w:type="spellStart"/>
      <w:r w:rsidRPr="000A4766">
        <w:rPr>
          <w:lang w:val="en-US"/>
        </w:rPr>
        <w:t>Kruskal</w:t>
      </w:r>
      <w:proofErr w:type="spellEnd"/>
      <w:r w:rsidRPr="000A4766">
        <w:rPr>
          <w:lang w:val="en-US"/>
        </w:rPr>
        <w:t>-Wallis rank sum test and post-hoc Dunn’s test to examine how weighting (allocation of 100 points) of ecosystem services differ between clusters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1"/>
        <w:gridCol w:w="916"/>
        <w:gridCol w:w="767"/>
        <w:gridCol w:w="561"/>
        <w:gridCol w:w="773"/>
        <w:gridCol w:w="1040"/>
        <w:gridCol w:w="993"/>
        <w:gridCol w:w="992"/>
        <w:gridCol w:w="992"/>
      </w:tblGrid>
      <w:tr w:rsidR="003F789A" w:rsidRPr="000A4766" w:rsidTr="00A75D5D">
        <w:tc>
          <w:tcPr>
            <w:tcW w:w="1721" w:type="dxa"/>
            <w:vMerge w:val="restart"/>
            <w:tcBorders>
              <w:left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Ecosystem services</w:t>
            </w:r>
          </w:p>
        </w:tc>
        <w:tc>
          <w:tcPr>
            <w:tcW w:w="2244" w:type="dxa"/>
            <w:gridSpan w:val="3"/>
            <w:tcBorders>
              <w:left w:val="nil"/>
              <w:bottom w:val="nil"/>
              <w:right w:val="nil"/>
            </w:tcBorders>
            <w:vAlign w:val="center"/>
          </w:tcPr>
          <w:p w:rsidR="003F789A" w:rsidRPr="00951BFC" w:rsidRDefault="003F789A" w:rsidP="00951BFC">
            <w:pPr>
              <w:spacing w:after="0" w:line="240" w:lineRule="auto"/>
              <w:ind w:left="360"/>
              <w:jc w:val="center"/>
              <w:rPr>
                <w:b/>
                <w:bCs/>
                <w:sz w:val="18"/>
                <w:szCs w:val="18"/>
                <w:lang w:val="en-US"/>
              </w:rPr>
            </w:pPr>
            <w:proofErr w:type="spellStart"/>
            <w:r w:rsidRPr="00951BFC">
              <w:rPr>
                <w:b/>
                <w:bCs/>
                <w:sz w:val="18"/>
                <w:szCs w:val="18"/>
                <w:lang w:val="en-US"/>
              </w:rPr>
              <w:t>Kruskal</w:t>
            </w:r>
            <w:proofErr w:type="spellEnd"/>
            <w:r w:rsidRPr="00951BFC">
              <w:rPr>
                <w:b/>
                <w:bCs/>
                <w:sz w:val="18"/>
                <w:szCs w:val="18"/>
                <w:lang w:val="en-US"/>
              </w:rPr>
              <w:t>-Wallis ranks sum test</w:t>
            </w:r>
          </w:p>
        </w:tc>
        <w:tc>
          <w:tcPr>
            <w:tcW w:w="4790" w:type="dxa"/>
            <w:gridSpan w:val="5"/>
            <w:tcBorders>
              <w:left w:val="nil"/>
              <w:bottom w:val="nil"/>
              <w:right w:val="nil"/>
            </w:tcBorders>
            <w:vAlign w:val="center"/>
          </w:tcPr>
          <w:p w:rsidR="003F789A" w:rsidRPr="00951BFC" w:rsidRDefault="003F789A" w:rsidP="00951BFC">
            <w:pPr>
              <w:spacing w:after="0" w:line="240" w:lineRule="auto"/>
              <w:ind w:left="360"/>
              <w:jc w:val="center"/>
              <w:rPr>
                <w:b/>
                <w:bCs/>
                <w:sz w:val="18"/>
                <w:szCs w:val="18"/>
                <w:lang w:val="en-US"/>
              </w:rPr>
            </w:pPr>
            <w:r w:rsidRPr="00951BFC">
              <w:rPr>
                <w:b/>
                <w:bCs/>
                <w:sz w:val="18"/>
                <w:szCs w:val="18"/>
                <w:lang w:val="en-US"/>
              </w:rPr>
              <w:t>Dunn’s test for weighting of ES</w:t>
            </w:r>
          </w:p>
        </w:tc>
      </w:tr>
      <w:tr w:rsidR="003F789A" w:rsidRPr="000A4766" w:rsidTr="00A75D5D">
        <w:trPr>
          <w:trHeight w:val="400"/>
        </w:trPr>
        <w:tc>
          <w:tcPr>
            <w:tcW w:w="1721" w:type="dxa"/>
            <w:vMerge/>
            <w:tcBorders>
              <w:left w:val="nil"/>
              <w:right w:val="nil"/>
            </w:tcBorders>
            <w:vAlign w:val="center"/>
          </w:tcPr>
          <w:p w:rsidR="003F789A" w:rsidRPr="00951BFC" w:rsidRDefault="003F789A" w:rsidP="00951BFC">
            <w:pPr>
              <w:spacing w:after="0" w:line="240" w:lineRule="auto"/>
              <w:jc w:val="center"/>
              <w:rPr>
                <w:bCs/>
                <w:sz w:val="18"/>
                <w:szCs w:val="18"/>
                <w:lang w:val="en-US"/>
              </w:rPr>
            </w:pPr>
          </w:p>
        </w:tc>
        <w:tc>
          <w:tcPr>
            <w:tcW w:w="2244" w:type="dxa"/>
            <w:gridSpan w:val="3"/>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Mean ranking</w:t>
            </w:r>
          </w:p>
        </w:tc>
        <w:tc>
          <w:tcPr>
            <w:tcW w:w="773" w:type="dxa"/>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Cluster 1</w:t>
            </w:r>
          </w:p>
          <w:p w:rsidR="003F789A" w:rsidRPr="00951BFC" w:rsidRDefault="003F789A" w:rsidP="00951BFC">
            <w:pPr>
              <w:spacing w:after="0" w:line="240" w:lineRule="auto"/>
              <w:jc w:val="center"/>
              <w:rPr>
                <w:bCs/>
                <w:sz w:val="18"/>
                <w:szCs w:val="18"/>
                <w:lang w:val="en-US"/>
              </w:rPr>
            </w:pPr>
            <w:r w:rsidRPr="00951BFC">
              <w:rPr>
                <w:bCs/>
                <w:sz w:val="18"/>
                <w:szCs w:val="18"/>
                <w:lang w:val="en-US"/>
              </w:rPr>
              <w:t>Traditionalists</w:t>
            </w:r>
          </w:p>
        </w:tc>
        <w:tc>
          <w:tcPr>
            <w:tcW w:w="1040" w:type="dxa"/>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Cluster 2</w:t>
            </w:r>
          </w:p>
          <w:p w:rsidR="003F789A" w:rsidRPr="00951BFC" w:rsidRDefault="003F789A" w:rsidP="00951BFC">
            <w:pPr>
              <w:spacing w:after="0" w:line="240" w:lineRule="auto"/>
              <w:jc w:val="center"/>
              <w:rPr>
                <w:bCs/>
                <w:sz w:val="18"/>
                <w:szCs w:val="18"/>
                <w:lang w:val="en-US"/>
              </w:rPr>
            </w:pPr>
            <w:r w:rsidRPr="00951BFC">
              <w:rPr>
                <w:bCs/>
                <w:sz w:val="18"/>
                <w:szCs w:val="18"/>
                <w:lang w:val="en-US"/>
              </w:rPr>
              <w:t>Multi-functionalists</w:t>
            </w:r>
          </w:p>
        </w:tc>
        <w:tc>
          <w:tcPr>
            <w:tcW w:w="993" w:type="dxa"/>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Cluster 3</w:t>
            </w:r>
          </w:p>
          <w:p w:rsidR="003F789A" w:rsidRPr="00951BFC" w:rsidRDefault="003F789A" w:rsidP="00951BFC">
            <w:pPr>
              <w:spacing w:after="0" w:line="240" w:lineRule="auto"/>
              <w:jc w:val="center"/>
              <w:rPr>
                <w:bCs/>
                <w:sz w:val="18"/>
                <w:szCs w:val="18"/>
                <w:lang w:val="en-US"/>
              </w:rPr>
            </w:pPr>
            <w:r w:rsidRPr="00951BFC">
              <w:rPr>
                <w:bCs/>
                <w:sz w:val="18"/>
                <w:szCs w:val="18"/>
                <w:lang w:val="en-US"/>
              </w:rPr>
              <w:t>Nature</w:t>
            </w:r>
          </w:p>
          <w:p w:rsidR="003F789A" w:rsidRPr="00951BFC" w:rsidRDefault="003F789A" w:rsidP="00951BFC">
            <w:pPr>
              <w:spacing w:after="0" w:line="240" w:lineRule="auto"/>
              <w:jc w:val="center"/>
              <w:rPr>
                <w:bCs/>
                <w:sz w:val="18"/>
                <w:szCs w:val="18"/>
                <w:lang w:val="en-US"/>
              </w:rPr>
            </w:pPr>
            <w:r w:rsidRPr="00951BFC">
              <w:rPr>
                <w:bCs/>
                <w:sz w:val="18"/>
                <w:szCs w:val="18"/>
                <w:lang w:val="en-US"/>
              </w:rPr>
              <w:t>lovers</w:t>
            </w:r>
          </w:p>
        </w:tc>
        <w:tc>
          <w:tcPr>
            <w:tcW w:w="992" w:type="dxa"/>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Cluster 4</w:t>
            </w:r>
          </w:p>
          <w:p w:rsidR="003F789A" w:rsidRPr="00951BFC" w:rsidRDefault="003F789A" w:rsidP="00951BFC">
            <w:pPr>
              <w:spacing w:after="0" w:line="240" w:lineRule="auto"/>
              <w:jc w:val="center"/>
              <w:rPr>
                <w:bCs/>
                <w:sz w:val="18"/>
                <w:szCs w:val="18"/>
                <w:lang w:val="en-US"/>
              </w:rPr>
            </w:pPr>
            <w:r w:rsidRPr="00951BFC">
              <w:rPr>
                <w:bCs/>
                <w:sz w:val="18"/>
                <w:szCs w:val="18"/>
                <w:lang w:val="en-US"/>
              </w:rPr>
              <w:t>Recreation seekers</w:t>
            </w:r>
          </w:p>
        </w:tc>
        <w:tc>
          <w:tcPr>
            <w:tcW w:w="992" w:type="dxa"/>
            <w:tcBorders>
              <w:top w:val="nil"/>
              <w:left w:val="nil"/>
              <w:bottom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Cluster 5</w:t>
            </w:r>
          </w:p>
          <w:p w:rsidR="003F789A" w:rsidRPr="00951BFC" w:rsidRDefault="003F789A" w:rsidP="00951BFC">
            <w:pPr>
              <w:spacing w:after="0" w:line="240" w:lineRule="auto"/>
              <w:jc w:val="center"/>
              <w:rPr>
                <w:bCs/>
                <w:sz w:val="18"/>
                <w:szCs w:val="18"/>
                <w:lang w:val="en-US"/>
              </w:rPr>
            </w:pPr>
            <w:r w:rsidRPr="00951BFC">
              <w:rPr>
                <w:bCs/>
                <w:sz w:val="18"/>
                <w:szCs w:val="18"/>
                <w:lang w:val="en-US"/>
              </w:rPr>
              <w:t>Forest enthusiasts</w:t>
            </w:r>
          </w:p>
        </w:tc>
      </w:tr>
      <w:tr w:rsidR="003F789A" w:rsidRPr="000A4766" w:rsidTr="00A75D5D">
        <w:trPr>
          <w:trHeight w:val="406"/>
        </w:trPr>
        <w:tc>
          <w:tcPr>
            <w:tcW w:w="1721" w:type="dxa"/>
            <w:vMerge/>
            <w:tcBorders>
              <w:left w:val="nil"/>
              <w:right w:val="nil"/>
            </w:tcBorders>
            <w:vAlign w:val="center"/>
          </w:tcPr>
          <w:p w:rsidR="003F789A" w:rsidRPr="00951BFC" w:rsidRDefault="003F789A" w:rsidP="00951BFC">
            <w:pPr>
              <w:spacing w:after="0" w:line="240" w:lineRule="auto"/>
              <w:jc w:val="center"/>
              <w:rPr>
                <w:bCs/>
                <w:sz w:val="18"/>
                <w:szCs w:val="18"/>
                <w:lang w:val="en-US"/>
              </w:rPr>
            </w:pPr>
          </w:p>
        </w:tc>
        <w:tc>
          <w:tcPr>
            <w:tcW w:w="916" w:type="dxa"/>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P-value</w:t>
            </w:r>
          </w:p>
        </w:tc>
        <w:tc>
          <w:tcPr>
            <w:tcW w:w="767" w:type="dxa"/>
            <w:tcBorders>
              <w:top w:val="nil"/>
              <w:left w:val="nil"/>
              <w:right w:val="nil"/>
            </w:tcBorders>
            <w:vAlign w:val="center"/>
          </w:tcPr>
          <w:p w:rsidR="003F789A" w:rsidRPr="00951BFC" w:rsidRDefault="003F789A" w:rsidP="00951BFC">
            <w:pPr>
              <w:spacing w:after="0" w:line="240" w:lineRule="auto"/>
              <w:jc w:val="center"/>
              <w:rPr>
                <w:bCs/>
                <w:sz w:val="18"/>
                <w:szCs w:val="18"/>
                <w:vertAlign w:val="superscript"/>
                <w:lang w:val="en-US"/>
              </w:rPr>
            </w:pPr>
            <w:r w:rsidRPr="00951BFC">
              <w:rPr>
                <w:bCs/>
                <w:sz w:val="18"/>
                <w:szCs w:val="18"/>
                <w:lang w:val="en-US"/>
              </w:rPr>
              <w:t>Chi</w:t>
            </w:r>
            <w:r w:rsidRPr="00951BFC">
              <w:rPr>
                <w:bCs/>
                <w:sz w:val="18"/>
                <w:szCs w:val="18"/>
                <w:vertAlign w:val="superscript"/>
                <w:lang w:val="en-US"/>
              </w:rPr>
              <w:t>2</w:t>
            </w:r>
          </w:p>
        </w:tc>
        <w:tc>
          <w:tcPr>
            <w:tcW w:w="561" w:type="dxa"/>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proofErr w:type="spellStart"/>
            <w:r w:rsidRPr="00951BFC">
              <w:rPr>
                <w:bCs/>
                <w:sz w:val="18"/>
                <w:szCs w:val="18"/>
                <w:lang w:val="en-US"/>
              </w:rPr>
              <w:t>df</w:t>
            </w:r>
            <w:proofErr w:type="spellEnd"/>
          </w:p>
        </w:tc>
        <w:tc>
          <w:tcPr>
            <w:tcW w:w="4790" w:type="dxa"/>
            <w:gridSpan w:val="5"/>
            <w:tcBorders>
              <w:top w:val="nil"/>
              <w:left w:val="nil"/>
              <w:right w:val="nil"/>
            </w:tcBorders>
            <w:vAlign w:val="center"/>
          </w:tcPr>
          <w:p w:rsidR="003F789A" w:rsidRPr="00951BFC" w:rsidRDefault="003F789A" w:rsidP="00951BFC">
            <w:pPr>
              <w:spacing w:after="0" w:line="240" w:lineRule="auto"/>
              <w:jc w:val="center"/>
              <w:rPr>
                <w:bCs/>
                <w:sz w:val="18"/>
                <w:szCs w:val="18"/>
                <w:lang w:val="en-US"/>
              </w:rPr>
            </w:pPr>
            <w:r w:rsidRPr="00951BFC">
              <w:rPr>
                <w:bCs/>
                <w:sz w:val="18"/>
                <w:szCs w:val="18"/>
                <w:lang w:val="en-US"/>
              </w:rPr>
              <w:t>Groups</w:t>
            </w:r>
          </w:p>
        </w:tc>
      </w:tr>
      <w:tr w:rsidR="003F789A" w:rsidRPr="000A4766" w:rsidTr="00A75D5D">
        <w:tc>
          <w:tcPr>
            <w:tcW w:w="1721" w:type="dxa"/>
            <w:tcBorders>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Experiential use of nature</w:t>
            </w:r>
          </w:p>
        </w:tc>
        <w:tc>
          <w:tcPr>
            <w:tcW w:w="916" w:type="dxa"/>
            <w:tcBorders>
              <w:left w:val="nil"/>
              <w:bottom w:val="nil"/>
              <w:right w:val="nil"/>
            </w:tcBorders>
          </w:tcPr>
          <w:p w:rsidR="003F789A" w:rsidRPr="00951BFC" w:rsidRDefault="003F789A" w:rsidP="00C221AF">
            <w:pPr>
              <w:spacing w:after="0" w:line="240" w:lineRule="auto"/>
              <w:ind w:right="-131"/>
              <w:jc w:val="center"/>
              <w:rPr>
                <w:bCs/>
                <w:sz w:val="18"/>
                <w:szCs w:val="18"/>
                <w:lang w:val="en-US"/>
              </w:rPr>
            </w:pPr>
            <w:r w:rsidRPr="00951BFC">
              <w:rPr>
                <w:bCs/>
                <w:sz w:val="18"/>
                <w:szCs w:val="18"/>
                <w:lang w:val="en-US"/>
              </w:rPr>
              <w:t>0.000785</w:t>
            </w:r>
          </w:p>
          <w:p w:rsidR="003F789A" w:rsidRPr="00951BFC" w:rsidRDefault="003F789A" w:rsidP="00951BFC">
            <w:pPr>
              <w:spacing w:after="0" w:line="240" w:lineRule="auto"/>
              <w:ind w:left="360"/>
              <w:jc w:val="center"/>
              <w:rPr>
                <w:bCs/>
                <w:sz w:val="18"/>
                <w:szCs w:val="18"/>
                <w:lang w:val="en-US"/>
              </w:rPr>
            </w:pPr>
          </w:p>
        </w:tc>
        <w:tc>
          <w:tcPr>
            <w:tcW w:w="767" w:type="dxa"/>
            <w:tcBorders>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19.003</w:t>
            </w:r>
          </w:p>
        </w:tc>
        <w:tc>
          <w:tcPr>
            <w:tcW w:w="561" w:type="dxa"/>
            <w:tcBorders>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1040" w:type="dxa"/>
            <w:tcBorders>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3" w:type="dxa"/>
            <w:tcBorders>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2" w:type="dxa"/>
            <w:tcBorders>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Physical use of nature</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0.1021</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7.727</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Education</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0.3885</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4.1315</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Cultural and natural history</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0.6792</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2.3088</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Aesthetics/Sense of place</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0.00017</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22.294</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Food provision</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0.212</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5.832</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Mediation of pollutants</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0.02988</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10.721</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r>
      <w:tr w:rsidR="003F789A" w:rsidRPr="000A4766" w:rsidTr="00A75D5D">
        <w:tc>
          <w:tcPr>
            <w:tcW w:w="172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Carbon sequestration</w:t>
            </w:r>
          </w:p>
        </w:tc>
        <w:tc>
          <w:tcPr>
            <w:tcW w:w="916"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0.00067</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19.335</w:t>
            </w:r>
          </w:p>
        </w:tc>
        <w:tc>
          <w:tcPr>
            <w:tcW w:w="561" w:type="dxa"/>
            <w:tcBorders>
              <w:top w:val="nil"/>
              <w:left w:val="nil"/>
              <w:bottom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1040"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3"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992" w:type="dxa"/>
            <w:tcBorders>
              <w:top w:val="nil"/>
              <w:left w:val="nil"/>
              <w:bottom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r>
      <w:tr w:rsidR="003F789A" w:rsidRPr="000A4766" w:rsidTr="00A75D5D">
        <w:tc>
          <w:tcPr>
            <w:tcW w:w="1721" w:type="dxa"/>
            <w:tcBorders>
              <w:top w:val="nil"/>
              <w:left w:val="nil"/>
              <w:right w:val="nil"/>
            </w:tcBorders>
          </w:tcPr>
          <w:p w:rsidR="003F789A" w:rsidRPr="00951BFC" w:rsidRDefault="003F789A" w:rsidP="00951BFC">
            <w:pPr>
              <w:spacing w:after="0" w:line="240" w:lineRule="auto"/>
              <w:ind w:right="-55"/>
              <w:jc w:val="center"/>
              <w:rPr>
                <w:bCs/>
                <w:sz w:val="18"/>
                <w:szCs w:val="18"/>
                <w:lang w:val="en-US"/>
              </w:rPr>
            </w:pPr>
            <w:r w:rsidRPr="00951BFC">
              <w:rPr>
                <w:bCs/>
                <w:sz w:val="18"/>
                <w:szCs w:val="18"/>
                <w:lang w:val="en-US"/>
              </w:rPr>
              <w:t>Habitat/biodiversity</w:t>
            </w:r>
          </w:p>
        </w:tc>
        <w:tc>
          <w:tcPr>
            <w:tcW w:w="916" w:type="dxa"/>
            <w:tcBorders>
              <w:top w:val="nil"/>
              <w:left w:val="nil"/>
              <w:right w:val="nil"/>
            </w:tcBorders>
          </w:tcPr>
          <w:p w:rsidR="003F789A" w:rsidRPr="00951BFC" w:rsidRDefault="003F789A" w:rsidP="00951BFC">
            <w:pPr>
              <w:spacing w:after="0" w:line="240" w:lineRule="auto"/>
              <w:ind w:right="-131"/>
              <w:jc w:val="center"/>
              <w:rPr>
                <w:bCs/>
                <w:sz w:val="18"/>
                <w:szCs w:val="18"/>
                <w:lang w:val="en-US"/>
              </w:rPr>
            </w:pPr>
            <w:r w:rsidRPr="00951BFC">
              <w:rPr>
                <w:bCs/>
                <w:sz w:val="18"/>
                <w:szCs w:val="18"/>
                <w:lang w:val="en-US"/>
              </w:rPr>
              <w:t>0.006421</w:t>
            </w:r>
          </w:p>
          <w:p w:rsidR="003F789A" w:rsidRPr="00951BFC" w:rsidRDefault="003F789A" w:rsidP="00951BFC">
            <w:pPr>
              <w:spacing w:after="0" w:line="240" w:lineRule="auto"/>
              <w:ind w:left="360"/>
              <w:jc w:val="center"/>
              <w:rPr>
                <w:bCs/>
                <w:sz w:val="18"/>
                <w:szCs w:val="18"/>
                <w:lang w:val="en-US"/>
              </w:rPr>
            </w:pPr>
          </w:p>
        </w:tc>
        <w:tc>
          <w:tcPr>
            <w:tcW w:w="767" w:type="dxa"/>
            <w:tcBorders>
              <w:top w:val="nil"/>
              <w:left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14.291</w:t>
            </w:r>
          </w:p>
        </w:tc>
        <w:tc>
          <w:tcPr>
            <w:tcW w:w="561" w:type="dxa"/>
            <w:tcBorders>
              <w:top w:val="nil"/>
              <w:left w:val="nil"/>
              <w:right w:val="nil"/>
            </w:tcBorders>
          </w:tcPr>
          <w:p w:rsidR="003F789A" w:rsidRPr="00951BFC" w:rsidRDefault="003F789A" w:rsidP="00951BFC">
            <w:pPr>
              <w:spacing w:after="0" w:line="240" w:lineRule="auto"/>
              <w:jc w:val="center"/>
              <w:rPr>
                <w:bCs/>
                <w:sz w:val="18"/>
                <w:szCs w:val="18"/>
                <w:lang w:val="en-US"/>
              </w:rPr>
            </w:pPr>
            <w:r w:rsidRPr="00951BFC">
              <w:rPr>
                <w:bCs/>
                <w:sz w:val="18"/>
                <w:szCs w:val="18"/>
                <w:lang w:val="en-US"/>
              </w:rPr>
              <w:t>4</w:t>
            </w:r>
          </w:p>
        </w:tc>
        <w:tc>
          <w:tcPr>
            <w:tcW w:w="773" w:type="dxa"/>
            <w:tcBorders>
              <w:top w:val="nil"/>
              <w:left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B</w:t>
            </w:r>
          </w:p>
        </w:tc>
        <w:tc>
          <w:tcPr>
            <w:tcW w:w="1040" w:type="dxa"/>
            <w:tcBorders>
              <w:top w:val="nil"/>
              <w:left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3" w:type="dxa"/>
            <w:tcBorders>
              <w:top w:val="nil"/>
              <w:left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AB</w:t>
            </w:r>
          </w:p>
        </w:tc>
        <w:tc>
          <w:tcPr>
            <w:tcW w:w="992" w:type="dxa"/>
            <w:tcBorders>
              <w:top w:val="nil"/>
              <w:left w:val="nil"/>
              <w:right w:val="nil"/>
            </w:tcBorders>
          </w:tcPr>
          <w:p w:rsidR="003F789A" w:rsidRPr="00951BFC" w:rsidRDefault="003F789A" w:rsidP="00951BFC">
            <w:pPr>
              <w:spacing w:line="240" w:lineRule="auto"/>
              <w:jc w:val="center"/>
              <w:rPr>
                <w:bCs/>
                <w:sz w:val="18"/>
                <w:szCs w:val="18"/>
                <w:lang w:val="en-US"/>
              </w:rPr>
            </w:pPr>
            <w:r w:rsidRPr="00951BFC">
              <w:rPr>
                <w:bCs/>
                <w:sz w:val="18"/>
                <w:szCs w:val="18"/>
                <w:lang w:val="en-US"/>
              </w:rPr>
              <w:t>A</w:t>
            </w:r>
          </w:p>
        </w:tc>
        <w:tc>
          <w:tcPr>
            <w:tcW w:w="992" w:type="dxa"/>
            <w:tcBorders>
              <w:top w:val="nil"/>
              <w:left w:val="nil"/>
              <w:right w:val="nil"/>
            </w:tcBorders>
          </w:tcPr>
          <w:p w:rsidR="003F789A" w:rsidRPr="00951BFC" w:rsidRDefault="003F789A" w:rsidP="00951BFC">
            <w:pPr>
              <w:keepNext/>
              <w:spacing w:line="240" w:lineRule="auto"/>
              <w:jc w:val="center"/>
              <w:rPr>
                <w:bCs/>
                <w:sz w:val="18"/>
                <w:szCs w:val="18"/>
                <w:lang w:val="en-US"/>
              </w:rPr>
            </w:pPr>
            <w:r w:rsidRPr="00951BFC">
              <w:rPr>
                <w:bCs/>
                <w:sz w:val="18"/>
                <w:szCs w:val="18"/>
                <w:lang w:val="en-US"/>
              </w:rPr>
              <w:t>B</w:t>
            </w:r>
          </w:p>
        </w:tc>
      </w:tr>
    </w:tbl>
    <w:p w:rsidR="003F789A" w:rsidRDefault="003F789A" w:rsidP="00A75D5D">
      <w:pPr>
        <w:spacing w:line="360" w:lineRule="auto"/>
        <w:rPr>
          <w:sz w:val="20"/>
          <w:lang w:val="en-US"/>
        </w:rPr>
      </w:pPr>
    </w:p>
    <w:p w:rsidR="003F789A" w:rsidRDefault="003F789A" w:rsidP="00A75D5D">
      <w:pPr>
        <w:spacing w:line="360" w:lineRule="auto"/>
        <w:rPr>
          <w:sz w:val="20"/>
          <w:lang w:val="en-US"/>
        </w:rPr>
      </w:pPr>
    </w:p>
    <w:p w:rsidR="003F789A" w:rsidRDefault="003F789A" w:rsidP="0032165B">
      <w:pPr>
        <w:pStyle w:val="Heading3"/>
        <w:numPr>
          <w:ilvl w:val="2"/>
          <w:numId w:val="35"/>
        </w:numPr>
        <w:ind w:left="851" w:hanging="851"/>
      </w:pPr>
      <w:bookmarkStart w:id="101" w:name="_Toc436757155"/>
      <w:bookmarkStart w:id="102" w:name="_Toc436758094"/>
      <w:r>
        <w:t xml:space="preserve"> </w:t>
      </w:r>
      <w:bookmarkStart w:id="103" w:name="_Toc436915618"/>
      <w:bookmarkStart w:id="104" w:name="_Toc436916059"/>
      <w:r w:rsidRPr="000A4766">
        <w:t>Discussion</w:t>
      </w:r>
      <w:bookmarkEnd w:id="101"/>
      <w:bookmarkEnd w:id="102"/>
      <w:bookmarkEnd w:id="103"/>
      <w:bookmarkEnd w:id="104"/>
    </w:p>
    <w:p w:rsidR="003F789A" w:rsidRPr="00474914" w:rsidRDefault="003F789A" w:rsidP="00474914"/>
    <w:p w:rsidR="003F789A" w:rsidRDefault="003F789A" w:rsidP="00A75D5D">
      <w:pPr>
        <w:spacing w:line="360" w:lineRule="auto"/>
        <w:rPr>
          <w:sz w:val="20"/>
          <w:lang w:val="en-US"/>
        </w:rPr>
      </w:pPr>
      <w:r w:rsidRPr="000A4766">
        <w:rPr>
          <w:sz w:val="20"/>
          <w:lang w:val="en-US"/>
        </w:rPr>
        <w:t xml:space="preserve">Non-monetary valuation of </w:t>
      </w:r>
      <w:r>
        <w:rPr>
          <w:sz w:val="20"/>
          <w:lang w:val="en-US"/>
        </w:rPr>
        <w:t>ES</w:t>
      </w:r>
      <w:r w:rsidRPr="000A4766">
        <w:rPr>
          <w:sz w:val="20"/>
          <w:lang w:val="en-US"/>
        </w:rPr>
        <w:t xml:space="preserve">s is an emerging field and is gaining momentum in the ES community </w:t>
      </w:r>
      <w:r w:rsidRPr="000A4766">
        <w:rPr>
          <w:sz w:val="20"/>
          <w:lang w:val="en-US"/>
        </w:rPr>
        <w:fldChar w:fldCharType="begin">
          <w:fldData xml:space="preserve">PEVuZE5vdGU+PENpdGU+PEF1dGhvcj5TY2hvbHRlPC9BdXRob3I+PFllYXI+MjAxNTwvWWVhcj48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</w:fldData>
        </w:fldChar>
      </w:r>
      <w:r w:rsidRPr="000A4766">
        <w:rPr>
          <w:sz w:val="20"/>
          <w:lang w:val="en-US"/>
        </w:rPr>
        <w:instrText xml:space="preserve"> ADDIN EN.CITE </w:instrText>
      </w:r>
      <w:r w:rsidRPr="000A4766">
        <w:rPr>
          <w:sz w:val="20"/>
          <w:lang w:val="en-US"/>
        </w:rPr>
        <w:fldChar w:fldCharType="begin">
          <w:fldData xml:space="preserve">PEVuZE5vdGU+PENpdGU+PEF1dGhvcj5TY2hvbHRlPC9BdXRob3I+PFllYXI+MjAxNTwvWWVhcj48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</w:fldData>
        </w:fldChar>
      </w:r>
      <w:r w:rsidRPr="000A4766">
        <w:rPr>
          <w:sz w:val="20"/>
          <w:lang w:val="en-US"/>
        </w:rPr>
        <w:instrText xml:space="preserve"> ADDIN EN.CITE.DATA </w:instrText>
      </w:r>
      <w:r w:rsidRPr="000A4766">
        <w:rPr>
          <w:sz w:val="20"/>
          <w:lang w:val="en-US"/>
        </w:rPr>
      </w:r>
      <w:r w:rsidRPr="000A4766">
        <w:rPr>
          <w:sz w:val="20"/>
          <w:lang w:val="en-US"/>
        </w:rPr>
        <w:fldChar w:fldCharType="end"/>
      </w:r>
      <w:r w:rsidRPr="000A4766">
        <w:rPr>
          <w:sz w:val="20"/>
          <w:lang w:val="en-US"/>
        </w:rPr>
      </w:r>
      <w:r w:rsidRPr="000A4766">
        <w:rPr>
          <w:sz w:val="20"/>
          <w:lang w:val="en-US"/>
        </w:rPr>
        <w:fldChar w:fldCharType="separate"/>
      </w:r>
      <w:r w:rsidRPr="000A4766">
        <w:rPr>
          <w:noProof/>
          <w:sz w:val="20"/>
          <w:lang w:val="en-US"/>
        </w:rPr>
        <w:t>(Kelemen et al., 2014; Scholte et al., 2015)</w:t>
      </w:r>
      <w:r w:rsidRPr="000A4766">
        <w:rPr>
          <w:sz w:val="20"/>
          <w:lang w:val="en-US"/>
        </w:rPr>
        <w:fldChar w:fldCharType="end"/>
      </w:r>
      <w:r w:rsidRPr="000A4766">
        <w:rPr>
          <w:sz w:val="20"/>
          <w:lang w:val="en-US"/>
        </w:rPr>
        <w:t xml:space="preserve">. Non-monetary techniques such as rating and weighting have been applied in several cases for the social valuation of ES in recent studies </w:t>
      </w:r>
      <w:r w:rsidRPr="000A4766">
        <w:rPr>
          <w:sz w:val="20"/>
          <w:lang w:val="en-US"/>
        </w:rPr>
        <w:fldChar w:fldCharType="begin">
          <w:fldData xml:space="preserve">PEVuZE5vdGU+PENpdGU+PEF1dGhvcj5TaGVycm91c2U8L0F1dGhvcj48WWVhcj4yMDExPC9ZZWFy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=
</w:fldData>
        </w:fldChar>
      </w:r>
      <w:r w:rsidRPr="000A4766">
        <w:rPr>
          <w:sz w:val="20"/>
          <w:lang w:val="en-US"/>
        </w:rPr>
        <w:instrText xml:space="preserve"> ADDIN EN.CITE </w:instrText>
      </w:r>
      <w:r w:rsidRPr="000A4766">
        <w:rPr>
          <w:sz w:val="20"/>
          <w:lang w:val="en-US"/>
        </w:rPr>
        <w:fldChar w:fldCharType="begin">
          <w:fldData xml:space="preserve">PEVuZE5vdGU+PENpdGU+PEF1dGhvcj5TaGVycm91c2U8L0F1dGhvcj48WWVhcj4yMDExPC9ZZWFy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=
</w:fldData>
        </w:fldChar>
      </w:r>
      <w:r w:rsidRPr="000A4766">
        <w:rPr>
          <w:sz w:val="20"/>
          <w:lang w:val="en-US"/>
        </w:rPr>
        <w:instrText xml:space="preserve"> ADDIN EN.CITE.DATA </w:instrText>
      </w:r>
      <w:r w:rsidRPr="000A4766">
        <w:rPr>
          <w:sz w:val="20"/>
          <w:lang w:val="en-US"/>
        </w:rPr>
      </w:r>
      <w:r w:rsidRPr="000A4766">
        <w:rPr>
          <w:sz w:val="20"/>
          <w:lang w:val="en-US"/>
        </w:rPr>
        <w:fldChar w:fldCharType="end"/>
      </w:r>
      <w:r w:rsidRPr="000A4766">
        <w:rPr>
          <w:sz w:val="20"/>
          <w:lang w:val="en-US"/>
        </w:rPr>
      </w:r>
      <w:r w:rsidRPr="000A4766">
        <w:rPr>
          <w:sz w:val="20"/>
          <w:lang w:val="en-US"/>
        </w:rPr>
        <w:fldChar w:fldCharType="separate"/>
      </w:r>
      <w:r w:rsidRPr="000A4766">
        <w:rPr>
          <w:noProof/>
          <w:sz w:val="20"/>
          <w:lang w:val="en-US"/>
        </w:rPr>
        <w:t>(Hicks et al., 2013; Sherrouse et al., 2011; Sherrouse et al., 2014; Tilliger et al., 2015)</w:t>
      </w:r>
      <w:r w:rsidRPr="000A4766">
        <w:rPr>
          <w:sz w:val="20"/>
          <w:lang w:val="en-US"/>
        </w:rPr>
        <w:fldChar w:fldCharType="end"/>
      </w:r>
      <w:r w:rsidRPr="000A4766">
        <w:rPr>
          <w:sz w:val="20"/>
          <w:lang w:val="en-US"/>
        </w:rPr>
        <w:t xml:space="preserve">. Results in this study indicate that there are differences in the explanatory value of rating and weighting techniques for landscape management. We found that for visitors to the </w:t>
      </w:r>
      <w:proofErr w:type="spellStart"/>
      <w:r w:rsidRPr="000A4766">
        <w:rPr>
          <w:sz w:val="20"/>
          <w:lang w:val="en-US"/>
        </w:rPr>
        <w:t>Pentland</w:t>
      </w:r>
      <w:proofErr w:type="spellEnd"/>
      <w:r w:rsidRPr="000A4766">
        <w:rPr>
          <w:sz w:val="20"/>
          <w:lang w:val="en-US"/>
        </w:rPr>
        <w:t xml:space="preserve"> Hills Regional Park in Scotland, the rating and weighting scores of ES differed across groups with different landscape preferences. Whereas descriptive statistics revealed only fine differences in ratings and weights across the five groups of diverging landscape preferences, the </w:t>
      </w:r>
      <w:proofErr w:type="spellStart"/>
      <w:r w:rsidRPr="000A4766">
        <w:rPr>
          <w:sz w:val="20"/>
          <w:lang w:val="en-US"/>
        </w:rPr>
        <w:t>Kruskal</w:t>
      </w:r>
      <w:proofErr w:type="spellEnd"/>
      <w:r w:rsidRPr="000A4766">
        <w:rPr>
          <w:sz w:val="20"/>
          <w:lang w:val="en-US"/>
        </w:rPr>
        <w:t xml:space="preserve">-Wallis rank sum test revealed significant differences in non-monetary valuation across the clusters. We found that the experiential use of nature, aesthetics/sense of place, carbon sequestration and habitat/biodiversity are ES that are rated and </w:t>
      </w:r>
      <w:r w:rsidRPr="000A4766">
        <w:rPr>
          <w:sz w:val="20"/>
          <w:lang w:val="en-US"/>
        </w:rPr>
        <w:lastRenderedPageBreak/>
        <w:t>weighted differently in the five clusters based on landscape preferences. We also found that the rating exercise revealed more differences in ES values than the weighting exercise, even though, at first glance, the rating results appear to be more uniform across clusters. Although it is not considered desirable to achieve an equal level of methodological consistency as for monetary valuation,  the applicability of non-monetary valuation of ES is guided</w:t>
      </w:r>
      <w:r>
        <w:rPr>
          <w:sz w:val="20"/>
          <w:lang w:val="en-US"/>
        </w:rPr>
        <w:t xml:space="preserve"> </w:t>
      </w:r>
      <w:r w:rsidRPr="000A4766">
        <w:rPr>
          <w:sz w:val="20"/>
          <w:lang w:val="en-US"/>
        </w:rPr>
        <w:t xml:space="preserve">by an assessment of which methods are most reliable in the valuation context </w:t>
      </w:r>
      <w:r w:rsidRPr="000A4766">
        <w:rPr>
          <w:sz w:val="20"/>
          <w:lang w:val="en-US"/>
        </w:rPr>
        <w:fldChar w:fldCharType="begin"/>
      </w:r>
      <w:r w:rsidRPr="000A4766">
        <w:rPr>
          <w:sz w:val="20"/>
          <w:lang w:val="en-US"/>
        </w:rPr>
        <w:instrText xml:space="preserve"> ADDIN EN.CITE &lt;EndNote&gt;&lt;Cite&gt;&lt;Author&gt;Kelemen&lt;/Author&gt;&lt;Year&gt;2014&lt;/Year&gt;&lt;IDText&gt;Non-monetary techniques for the valuation of ecosystem services&lt;/IDText&gt;&lt;DisplayText&gt;(Kelemen et al., 2014)&lt;/DisplayText&gt;&lt;record&gt;&lt;titles&gt;&lt;title&gt;Non-monetary techniques for the valuation of ecosystem services&lt;/title&gt;&lt;secondary-title&gt;OpenNESS Reference Book&lt;/secondary-title&gt;&lt;/titles&gt;&lt;contributors&gt;&lt;authors&gt;&lt;author&gt;Kelemen, Eszter&lt;/author&gt;&lt;author&gt;García-Llorente, Marina&lt;/author&gt;&lt;author&gt;Pataki, György&lt;/author&gt;&lt;author&gt;Martín-López, Berta&lt;/author&gt;&lt;author&gt;Gómez-Baggethun, Erik&lt;/author&gt;&lt;/authors&gt;&lt;/contributors&gt;&lt;added-date format="utc"&gt;1447947532&lt;/added-date&gt;&lt;pub-location&gt;EC FP7 Grant Agreement no. 308428&lt;/pub-location&gt;&lt;ref-type name="Report"&gt;27&lt;/ref-type&gt;&lt;dates&gt;&lt;year&gt;2014&lt;/year&gt;&lt;/dates&gt;&lt;rec-number&gt;4149&lt;/rec-number&gt;&lt;last-updated-date format="utc"&gt;1447947895&lt;/last-updated-date&gt;&lt;contributors&gt;&lt;secondary-authors&gt;&lt;author&gt;Potschin, Marion&lt;/author&gt;&lt;author&gt;Jax, Kurt&lt;/author&gt;&lt;/secondary-authors&gt;&lt;/contributors&gt;&lt;/record&gt;&lt;/Cite&gt;&lt;/EndNote&gt;</w:instrText>
      </w:r>
      <w:r w:rsidRPr="000A4766">
        <w:rPr>
          <w:sz w:val="20"/>
          <w:lang w:val="en-US"/>
        </w:rPr>
        <w:fldChar w:fldCharType="separate"/>
      </w:r>
      <w:r w:rsidRPr="000A4766">
        <w:rPr>
          <w:noProof/>
          <w:sz w:val="20"/>
          <w:lang w:val="en-US"/>
        </w:rPr>
        <w:t>(Kelemen et al., 2014)</w:t>
      </w:r>
      <w:r w:rsidRPr="000A4766">
        <w:rPr>
          <w:sz w:val="20"/>
          <w:lang w:val="en-US"/>
        </w:rPr>
        <w:fldChar w:fldCharType="end"/>
      </w:r>
      <w:r w:rsidRPr="000A4766">
        <w:rPr>
          <w:sz w:val="20"/>
          <w:lang w:val="en-US"/>
        </w:rPr>
        <w:t xml:space="preserve">. </w:t>
      </w:r>
    </w:p>
    <w:p w:rsidR="003F789A" w:rsidRPr="000A4766" w:rsidRDefault="003F789A" w:rsidP="00A75D5D">
      <w:pPr>
        <w:spacing w:line="360" w:lineRule="auto"/>
        <w:rPr>
          <w:sz w:val="20"/>
          <w:lang w:val="en-US"/>
        </w:rPr>
      </w:pPr>
    </w:p>
    <w:p w:rsidR="003F789A" w:rsidRDefault="003F789A" w:rsidP="00A75D5D">
      <w:pPr>
        <w:spacing w:line="360" w:lineRule="auto"/>
        <w:rPr>
          <w:sz w:val="20"/>
          <w:lang w:val="en-US"/>
        </w:rPr>
      </w:pPr>
      <w:r w:rsidRPr="000A4766">
        <w:rPr>
          <w:sz w:val="20"/>
          <w:lang w:val="en-US"/>
        </w:rPr>
        <w:t xml:space="preserve">Our results demonstrate that habitat/biodiversity, and the experiential and physical use of nature, are the most important </w:t>
      </w:r>
      <w:r>
        <w:rPr>
          <w:sz w:val="20"/>
          <w:lang w:val="en-US"/>
        </w:rPr>
        <w:t>ES</w:t>
      </w:r>
      <w:r w:rsidRPr="000A4766">
        <w:rPr>
          <w:sz w:val="20"/>
          <w:lang w:val="en-US"/>
        </w:rPr>
        <w:t xml:space="preserve">s provided by the </w:t>
      </w:r>
      <w:proofErr w:type="spellStart"/>
      <w:r w:rsidRPr="000A4766">
        <w:rPr>
          <w:sz w:val="20"/>
          <w:lang w:val="en-US"/>
        </w:rPr>
        <w:t>Pentland</w:t>
      </w:r>
      <w:proofErr w:type="spellEnd"/>
      <w:r w:rsidRPr="000A4766">
        <w:rPr>
          <w:sz w:val="20"/>
          <w:lang w:val="en-US"/>
        </w:rPr>
        <w:t xml:space="preserve"> Hills Regional Park. We </w:t>
      </w:r>
      <w:proofErr w:type="spellStart"/>
      <w:r w:rsidRPr="000A4766">
        <w:rPr>
          <w:sz w:val="20"/>
          <w:lang w:val="en-US"/>
        </w:rPr>
        <w:t>analysed</w:t>
      </w:r>
      <w:proofErr w:type="spellEnd"/>
      <w:r w:rsidRPr="000A4766">
        <w:rPr>
          <w:sz w:val="20"/>
          <w:lang w:val="en-US"/>
        </w:rPr>
        <w:t xml:space="preserve"> five clusters of respondents with similar landscape preferences based on selected trade-offs that could mark the future land management in the </w:t>
      </w:r>
      <w:proofErr w:type="spellStart"/>
      <w:r w:rsidRPr="000A4766">
        <w:rPr>
          <w:sz w:val="20"/>
          <w:lang w:val="en-US"/>
        </w:rPr>
        <w:t>Pentland</w:t>
      </w:r>
      <w:proofErr w:type="spellEnd"/>
      <w:r w:rsidRPr="000A4766">
        <w:rPr>
          <w:sz w:val="20"/>
          <w:lang w:val="en-US"/>
        </w:rPr>
        <w:t xml:space="preserve"> Hills within a novel valuation approach and found distinct values for ES in each cluster. Descriptive analysis of the rating and weighting data without consideration of landscape preferences limits the information content of the non-monetary valuation approaches and compromises their explanatory value. We therefore propose</w:t>
      </w:r>
      <w:r>
        <w:rPr>
          <w:sz w:val="20"/>
          <w:lang w:val="en-US"/>
        </w:rPr>
        <w:t xml:space="preserve"> </w:t>
      </w:r>
      <w:r w:rsidRPr="000A4766">
        <w:rPr>
          <w:sz w:val="20"/>
          <w:lang w:val="en-US"/>
        </w:rPr>
        <w:t>that limitations in terms of trade-offs are included within any non-monetary valuation approach to reduce homogeneous valuation and to obtain a more differentiated picture of landscape preferences.</w:t>
      </w:r>
    </w:p>
    <w:p w:rsidR="003F789A" w:rsidRPr="000A4766" w:rsidRDefault="003F789A" w:rsidP="00A75D5D">
      <w:pPr>
        <w:spacing w:line="360" w:lineRule="auto"/>
        <w:rPr>
          <w:sz w:val="20"/>
          <w:lang w:val="en-US"/>
        </w:rPr>
      </w:pPr>
      <w:r w:rsidRPr="000A4766">
        <w:rPr>
          <w:sz w:val="20"/>
          <w:lang w:val="en-US"/>
        </w:rPr>
        <w:t xml:space="preserve">   </w:t>
      </w:r>
    </w:p>
    <w:p w:rsidR="003F789A" w:rsidRPr="000A4766" w:rsidRDefault="003F789A" w:rsidP="0032165B">
      <w:pPr>
        <w:pStyle w:val="Heading3"/>
        <w:numPr>
          <w:ilvl w:val="2"/>
          <w:numId w:val="35"/>
        </w:numPr>
        <w:ind w:left="851" w:hanging="851"/>
      </w:pPr>
      <w:bookmarkStart w:id="105" w:name="_Toc436757156"/>
      <w:bookmarkStart w:id="106" w:name="_Toc436758095"/>
      <w:r>
        <w:t xml:space="preserve"> </w:t>
      </w:r>
      <w:bookmarkStart w:id="107" w:name="_Toc436915619"/>
      <w:bookmarkStart w:id="108" w:name="_Toc436916060"/>
      <w:r w:rsidRPr="000A4766">
        <w:t>Conclusion</w:t>
      </w:r>
      <w:bookmarkEnd w:id="105"/>
      <w:bookmarkEnd w:id="106"/>
      <w:bookmarkEnd w:id="107"/>
      <w:bookmarkEnd w:id="108"/>
    </w:p>
    <w:p w:rsidR="003F789A" w:rsidRPr="000A4766" w:rsidRDefault="003F789A" w:rsidP="00A75D5D">
      <w:pPr>
        <w:spacing w:line="360" w:lineRule="auto"/>
        <w:rPr>
          <w:sz w:val="20"/>
          <w:lang w:val="en-US"/>
        </w:rPr>
      </w:pPr>
      <w:r w:rsidRPr="000A4766">
        <w:rPr>
          <w:sz w:val="20"/>
          <w:lang w:val="en-US"/>
        </w:rPr>
        <w:t xml:space="preserve">Recent publications have recognized the plurality of values of </w:t>
      </w:r>
      <w:r>
        <w:rPr>
          <w:sz w:val="20"/>
          <w:lang w:val="en-US"/>
        </w:rPr>
        <w:t>ES</w:t>
      </w:r>
      <w:r w:rsidRPr="000A4766">
        <w:rPr>
          <w:sz w:val="20"/>
          <w:lang w:val="en-US"/>
        </w:rPr>
        <w:t xml:space="preserve">s and the specifically the need to improve our understanding of social values of </w:t>
      </w:r>
      <w:r>
        <w:rPr>
          <w:sz w:val="20"/>
          <w:lang w:val="en-US"/>
        </w:rPr>
        <w:t>ES</w:t>
      </w:r>
      <w:r w:rsidRPr="000A4766">
        <w:rPr>
          <w:sz w:val="20"/>
          <w:lang w:val="en-US"/>
        </w:rPr>
        <w:t xml:space="preserve">s. Our results have increased our understanding of non-monetary approaches to assess social values of </w:t>
      </w:r>
      <w:r>
        <w:rPr>
          <w:sz w:val="20"/>
          <w:lang w:val="en-US"/>
        </w:rPr>
        <w:t>ES</w:t>
      </w:r>
      <w:r w:rsidRPr="000A4766">
        <w:rPr>
          <w:sz w:val="20"/>
          <w:lang w:val="en-US"/>
        </w:rPr>
        <w:t xml:space="preserve">s by empirically demonstrating (1) how the importance of ES differs by the choice of valuation approach (rating, weighting), (2) how landscape preferences can be explained by rating and weighting of ES, (3) how </w:t>
      </w:r>
      <w:r>
        <w:rPr>
          <w:sz w:val="20"/>
          <w:lang w:val="en-US"/>
        </w:rPr>
        <w:t>ES</w:t>
      </w:r>
      <w:r w:rsidRPr="000A4766">
        <w:rPr>
          <w:sz w:val="20"/>
          <w:lang w:val="en-US"/>
        </w:rPr>
        <w:t xml:space="preserve">s rating and weighting results are different between clusters of people with diverging landscape preferences, and (4) that the explanatory value of weighting and rating approaches is greater with the inclusion of trade-offs as applied here to clusters of landscape preferences.    </w:t>
      </w:r>
    </w:p>
    <w:p w:rsidR="003F789A" w:rsidRDefault="003F789A" w:rsidP="00A75D5D">
      <w:pPr>
        <w:spacing w:line="360" w:lineRule="auto"/>
        <w:rPr>
          <w:sz w:val="20"/>
          <w:lang w:val="en-US"/>
        </w:rPr>
      </w:pPr>
    </w:p>
    <w:p w:rsidR="003F789A" w:rsidRPr="00C221AF" w:rsidRDefault="003F789A" w:rsidP="00A75D5D">
      <w:pPr>
        <w:spacing w:line="360" w:lineRule="auto"/>
        <w:rPr>
          <w:color w:val="008000"/>
          <w:sz w:val="28"/>
          <w:szCs w:val="28"/>
          <w:lang w:val="en-US"/>
        </w:rPr>
      </w:pPr>
      <w:r w:rsidRPr="00C221AF">
        <w:rPr>
          <w:rFonts w:ascii="Arial Bold" w:hAnsi="Arial Bold"/>
          <w:b/>
          <w:color w:val="008000"/>
          <w:sz w:val="28"/>
          <w:szCs w:val="28"/>
          <w:lang w:val="en-US"/>
        </w:rPr>
        <w:t>References</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fldChar w:fldCharType="begin"/>
      </w:r>
      <w:r w:rsidRPr="000A4766">
        <w:rPr>
          <w:rFonts w:ascii="Arial" w:hAnsi="Arial"/>
          <w:sz w:val="20"/>
        </w:rPr>
        <w:instrText xml:space="preserve"> ADDIN EN.REFLIST </w:instrText>
      </w:r>
      <w:r w:rsidRPr="000A4766">
        <w:rPr>
          <w:rFonts w:ascii="Arial" w:hAnsi="Arial"/>
          <w:sz w:val="20"/>
        </w:rPr>
        <w:fldChar w:fldCharType="separate"/>
      </w:r>
      <w:r w:rsidRPr="000A4766">
        <w:rPr>
          <w:rFonts w:ascii="Arial" w:hAnsi="Arial"/>
          <w:sz w:val="20"/>
        </w:rPr>
        <w:t>Bray, J. R., Curtis, J. T., 1957, An Ordination of the Upland Forest Communities of Southern Wisconsin, Ecological Monographs 27(4):326-349.</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Brown, G., Reed, P., 2000, Validation of a forest values typology for use in national forest planning, Forest Science 46(2):240-247.</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Calvet-Mir, L., Gómez-Baggethun, E., Reyes-García, V., 2012, Beyond food production: Ecosystem services provided by home gardens. A case study in Vall Fosca, Catalan Pyrenees, Northeastern Spain, Ecological Economics 74(0):153-160.</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Chan, K. M. A., Guerry, A. D., Balvanera, P., Klain, S., Satterfield, T., Basurto, X., Bostrom, A., Chuenpagdee, R., Gould, R., Halpern, B. S., Hannahs, N., Levine, J., Norton, B., Ruckelshaus, M., Russell, R., Tam, J., Woodside, U., 2012, Where are Cultural and Social in Ecosystem Services? A Framework for Constructive Engagement, BioScience 62(8):744-756.</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lastRenderedPageBreak/>
        <w:t>de Chazal, J., Quetier, F., Lavorel, S., Van Doorn, A., 2008, Including multiple differing stakeholder values into vulnerability assessments of socio-ecological systems, Global Environmental Change-Human and Policy Dimensions 18(3):508-520.</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Dunn, O. J., 1964, Multiple Comparisons Using Rank Sums, Technometrics 6(3):241-252.</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Díaz, S.</w:t>
      </w:r>
      <w:r>
        <w:rPr>
          <w:rFonts w:ascii="Arial" w:hAnsi="Arial"/>
          <w:sz w:val="20"/>
        </w:rPr>
        <w:t xml:space="preserve"> et al </w:t>
      </w:r>
      <w:r w:rsidRPr="000A4766">
        <w:rPr>
          <w:rFonts w:ascii="Arial" w:hAnsi="Arial"/>
          <w:sz w:val="20"/>
        </w:rPr>
        <w:t>The IPBES Conceptual Framework — connecting nature and people, Current Opinion in Environmental Sustainability 14:1-16.</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Gómez-Baggethun, E</w:t>
      </w:r>
      <w:r>
        <w:rPr>
          <w:rFonts w:ascii="Arial" w:hAnsi="Arial"/>
          <w:sz w:val="20"/>
        </w:rPr>
        <w:t xml:space="preserve"> et al;/</w:t>
      </w:r>
      <w:r w:rsidRPr="000A4766">
        <w:rPr>
          <w:rFonts w:ascii="Arial" w:hAnsi="Arial"/>
          <w:sz w:val="20"/>
        </w:rPr>
        <w:t>, 2014,.State-of-the-art report on integrated valuationof ecosystem services, European Commission FP7.</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Hicks, C. C., Graham, N. A. J., Cinner, J. E., 2013, Synergies and tradeoffs in how managers, scientists, and fishers value coral reef ecosystem services, Global Environmental Change 23(6):1444-1453.</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Kelemen, E., García-Llorente, M., Pataki, G., Martín-López, B., Gómez-Baggethun, E., 2014, Non-monetary techniques for the valuation of ecosystem services, in: OpenNESS Reference Book (M. Potschin, K. Jax, eds.), EC FP7 Grant Agreement no. 308428.</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Kruskal, W. H., Wallis, W. A., 1952, Use of Ranks in One-Criterion Variance Analysis, Journal of the American Statistical Association 47(260):583-621.</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Likert, R., 1932, A Technique for the Measurement of Attitudes, Archives of Psychology 22(140):1-55.</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Martín-López, B., Gómez-Baggethun, E., García-Llorente, M., Montes, C., 2014, Trade-offs across value-domains in ecosystem services assessment, Ecological Indicators 37, Part A(0):220-228.</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Nieto-Romero, M., Oteros-Rozas, E., González, J. A., Martín-López, B., 2014, Exploring the knowledge landscape of ecosystem services assessments in Mediterranean agroecosystems: Insights for future research, Environmental Science &amp; Policy 37(0):121-133.</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Petrosillo, I., Zurlini, G., Corliano, M., Zaccarelli, N., Dadamo, M., 2007, Tourist perception of recreational environment and management in a marine protected area, Landscape and Urban Planning 79(1):29-37.</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Reed, M. S., 2008, Stakeholder participation for environmental management: A literature review, Biological Conservation 141(10):2417-2431.</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Ruiz-Frau, A., Hinz, H., Edwards-Jones, G., Kaiser, M. J., 2013, Spatially explicit economic assessment of cultural ecosystem services: Non-extractive recreational uses of the coastal environment related to marine biodiversity, Marine Policy 38(0):90-98.</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Scholte, S. S. K., van Teeffelen, A. J. A., Verburg, P. H., 2015, Integrating socio-cultural perspectives into ecosystem service valuation: A review of concepts and methods, Ecological Economics 114:67-78.</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Sherrouse, B. C., Semmens, D. J., Clement, J. M., 2014, An application of Social Values for Ecosystem Services (SolVES) to three national forests in Colorado and Wyoming, Ecological Indicators 36(0):68-79.</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Spangenberg, J. H., Görg, C., Settele, J., Stakeholder involvement in ESS research and governance: Between conceptual ambition and practical experiences – risks, challenges and tested tools, Ecosystem Services.</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Tilliger, B., Rodríguez-Labajos, B., Bustamante, J. V., Settele, J., 2015, Disentangling Values in the Interrelations between Cultural Ecosystem Services and Landscape Conservation—A Case Study of the Ifugao Rice Terraces in the Philippines, Land 4(3):888-913.</w:t>
      </w:r>
    </w:p>
    <w:p w:rsidR="003F789A" w:rsidRPr="000A4766" w:rsidRDefault="003F789A" w:rsidP="00951BFC">
      <w:pPr>
        <w:pStyle w:val="EndNoteBibliography"/>
        <w:spacing w:after="120"/>
        <w:ind w:left="720" w:hanging="720"/>
        <w:rPr>
          <w:rFonts w:ascii="Arial" w:hAnsi="Arial"/>
          <w:sz w:val="20"/>
        </w:rPr>
      </w:pPr>
      <w:r w:rsidRPr="000A4766">
        <w:rPr>
          <w:rFonts w:ascii="Arial" w:hAnsi="Arial"/>
          <w:sz w:val="20"/>
        </w:rPr>
        <w:t>Ward, J. H., 1963, Hierarchical Grouping to Optimize an Objective Function, Journal of the American Statistical Association 58(301):236-244.</w:t>
      </w:r>
    </w:p>
    <w:p w:rsidR="003F789A" w:rsidRPr="000A4766" w:rsidRDefault="003F789A" w:rsidP="00951BFC">
      <w:pPr>
        <w:spacing w:after="120" w:line="360" w:lineRule="auto"/>
        <w:rPr>
          <w:sz w:val="20"/>
          <w:lang w:val="en-US"/>
        </w:rPr>
      </w:pPr>
      <w:r w:rsidRPr="000A4766">
        <w:rPr>
          <w:sz w:val="20"/>
        </w:rPr>
        <w:fldChar w:fldCharType="end"/>
      </w:r>
    </w:p>
    <w:p w:rsidR="003F789A" w:rsidRPr="00A75D5D" w:rsidRDefault="003F789A" w:rsidP="00951BFC">
      <w:pPr>
        <w:spacing w:line="360" w:lineRule="auto"/>
      </w:pPr>
    </w:p>
    <w:p w:rsidR="003F789A" w:rsidRPr="004B458C" w:rsidRDefault="003F789A" w:rsidP="008C28CE">
      <w:pPr>
        <w:spacing w:line="360" w:lineRule="auto"/>
        <w:rPr>
          <w:sz w:val="20"/>
        </w:rPr>
      </w:pPr>
      <w:bookmarkStart w:id="109" w:name="_Toc436757157"/>
      <w:bookmarkStart w:id="110" w:name="_Toc436758096"/>
      <w:r w:rsidRPr="004B458C">
        <w:rPr>
          <w:sz w:val="20"/>
        </w:rPr>
        <w:lastRenderedPageBreak/>
        <w:t xml:space="preserve">Using choice </w:t>
      </w:r>
      <w:proofErr w:type="spellStart"/>
      <w:r w:rsidRPr="004B458C">
        <w:rPr>
          <w:sz w:val="20"/>
        </w:rPr>
        <w:t>modeling</w:t>
      </w:r>
      <w:proofErr w:type="spellEnd"/>
      <w:r w:rsidRPr="004B458C">
        <w:rPr>
          <w:sz w:val="20"/>
        </w:rPr>
        <w:t xml:space="preserve"> to map aesthetic values at a landscape scale: lessons from a Dutch case study</w:t>
      </w:r>
    </w:p>
    <w:p w:rsidR="003F789A" w:rsidRDefault="003F789A" w:rsidP="006D566F">
      <w:pPr>
        <w:pStyle w:val="Heading1"/>
        <w:numPr>
          <w:ilvl w:val="0"/>
          <w:numId w:val="35"/>
        </w:numPr>
        <w:tabs>
          <w:tab w:val="clear" w:pos="705"/>
          <w:tab w:val="num" w:pos="851"/>
        </w:tabs>
        <w:ind w:left="851" w:hanging="851"/>
      </w:pPr>
      <w:bookmarkStart w:id="111" w:name="_Toc436915620"/>
      <w:bookmarkStart w:id="112" w:name="_Toc436916061"/>
      <w:r>
        <w:lastRenderedPageBreak/>
        <w:t>Use of mapping and participatory mapping in socio-cultural valuation</w:t>
      </w:r>
      <w:bookmarkEnd w:id="111"/>
      <w:bookmarkEnd w:id="112"/>
    </w:p>
    <w:p w:rsidR="003F789A" w:rsidRDefault="003F789A" w:rsidP="008C28CE">
      <w:pPr>
        <w:spacing w:line="240" w:lineRule="auto"/>
      </w:pPr>
    </w:p>
    <w:p w:rsidR="003F789A" w:rsidRPr="00BD5483" w:rsidRDefault="003F789A" w:rsidP="006D566F">
      <w:pPr>
        <w:pStyle w:val="Heading2"/>
        <w:numPr>
          <w:ilvl w:val="1"/>
          <w:numId w:val="37"/>
        </w:numPr>
        <w:spacing w:line="240" w:lineRule="auto"/>
        <w:rPr>
          <w:rFonts w:ascii="Arial Bold" w:hAnsi="Arial Bold"/>
          <w:color w:val="339966"/>
        </w:rPr>
      </w:pPr>
      <w:bookmarkStart w:id="113" w:name="_Toc436915621"/>
      <w:bookmarkStart w:id="114" w:name="_Toc436916062"/>
      <w:r w:rsidRPr="00BD5483">
        <w:rPr>
          <w:rFonts w:ascii="Arial Bold" w:hAnsi="Arial Bold"/>
          <w:color w:val="339966"/>
        </w:rPr>
        <w:t>Introduction</w:t>
      </w:r>
      <w:bookmarkEnd w:id="113"/>
      <w:bookmarkEnd w:id="114"/>
    </w:p>
    <w:p w:rsidR="003F789A" w:rsidRDefault="003F789A" w:rsidP="00BD5483"/>
    <w:p w:rsidR="003F789A" w:rsidRDefault="003F789A" w:rsidP="00BD5483">
      <w:pPr>
        <w:rPr>
          <w:sz w:val="20"/>
        </w:rPr>
      </w:pPr>
      <w:r w:rsidRPr="00BD5483">
        <w:rPr>
          <w:sz w:val="20"/>
        </w:rPr>
        <w:t xml:space="preserve">Mapping, and specifically participatory mapping, can contribute to socio-cultural valuation both, as a tool in its own right for recording the location and extent of important ES, and as a means to stimulate deliberation processes. Various papers have been produced on the use of participatory mapping in recent years including, for example, Raymond et al (2009), </w:t>
      </w:r>
      <w:proofErr w:type="spellStart"/>
      <w:r w:rsidRPr="00BD5483">
        <w:rPr>
          <w:sz w:val="20"/>
        </w:rPr>
        <w:t>Plieninger</w:t>
      </w:r>
      <w:proofErr w:type="spellEnd"/>
      <w:r w:rsidRPr="00BD5483">
        <w:rPr>
          <w:sz w:val="20"/>
        </w:rPr>
        <w:t xml:space="preserve"> e al (2013) and Brown and Raymond (2014). These studies have been applied in various cultures and settings and demonstrate that people can identify places that are important for supporting, regulating and provisioning services. However, they also reveal the perceived value of cultural ecosystem service (CES) values with these often transcending other more instrumental ecosystem service benefits. It is argued that these values arise from socio-ecological relationships, often associated with food production or important natural resources such as water. These values are typically found to relate to bundles of CES and other ES benefits, and are often concentrated in known hot-spots.  </w:t>
      </w:r>
    </w:p>
    <w:p w:rsidR="003F789A" w:rsidRPr="00BD5483" w:rsidRDefault="003F789A" w:rsidP="00BD5483">
      <w:pPr>
        <w:rPr>
          <w:sz w:val="20"/>
        </w:rPr>
      </w:pPr>
    </w:p>
    <w:p w:rsidR="003F789A" w:rsidRPr="00BD5483" w:rsidRDefault="003F789A" w:rsidP="00BD5483">
      <w:pPr>
        <w:rPr>
          <w:sz w:val="20"/>
        </w:rPr>
      </w:pPr>
      <w:r w:rsidRPr="00BD5483">
        <w:rPr>
          <w:sz w:val="20"/>
        </w:rPr>
        <w:t xml:space="preserve">Landscape preferences can be difficult to convert into maps and to extrapolate to other locations. This chapter presents a paper by </w:t>
      </w:r>
      <w:proofErr w:type="spellStart"/>
      <w:r w:rsidRPr="00BD5483">
        <w:rPr>
          <w:sz w:val="20"/>
        </w:rPr>
        <w:t>Zanten</w:t>
      </w:r>
      <w:proofErr w:type="spellEnd"/>
      <w:r w:rsidRPr="00BD5483">
        <w:rPr>
          <w:sz w:val="20"/>
        </w:rPr>
        <w:t xml:space="preserve"> et al from IVM which examines the potential for mapping aesthetic value as an ES as a means to capture people’s interaction with landscape through the use of photographs and the mapping of hot-spots of values. The authors combine this with choice experiments to determine people’s principal preferences and compare the results with more conventional methods of landscape assessment that focus on landscape structures and components.  These results are compared in turn with the results from a revealed preference method based on numbers of individuals uploading photographs to the website </w:t>
      </w:r>
      <w:proofErr w:type="spellStart"/>
      <w:r w:rsidRPr="00BD5483">
        <w:rPr>
          <w:sz w:val="20"/>
        </w:rPr>
        <w:t>Panoramio</w:t>
      </w:r>
      <w:proofErr w:type="spellEnd"/>
      <w:r w:rsidRPr="00BD5483">
        <w:rPr>
          <w:sz w:val="20"/>
        </w:rPr>
        <w:t xml:space="preserve">  </w:t>
      </w:r>
    </w:p>
    <w:p w:rsidR="003F789A" w:rsidRDefault="003F789A" w:rsidP="00BD5483">
      <w:pPr>
        <w:rPr>
          <w:sz w:val="20"/>
        </w:rPr>
      </w:pPr>
    </w:p>
    <w:p w:rsidR="003F789A" w:rsidRPr="00BD5483" w:rsidRDefault="003F789A" w:rsidP="00BD5483">
      <w:pPr>
        <w:rPr>
          <w:sz w:val="20"/>
        </w:rPr>
      </w:pPr>
      <w:r w:rsidRPr="00BD5483">
        <w:rPr>
          <w:sz w:val="20"/>
        </w:rPr>
        <w:t xml:space="preserve">They authors argue that, in comparison with ES-based preferences, other methods may be overly dependent on aesthetics and fail to account the multiple causality behind landscape preferences. The argument corresponds to the aforementioned bundling of ES values which support the notion of landscape </w:t>
      </w:r>
      <w:proofErr w:type="spellStart"/>
      <w:r w:rsidRPr="00BD5483">
        <w:rPr>
          <w:sz w:val="20"/>
        </w:rPr>
        <w:t>multifunctionality</w:t>
      </w:r>
      <w:proofErr w:type="spellEnd"/>
      <w:r w:rsidRPr="00BD5483">
        <w:rPr>
          <w:sz w:val="20"/>
        </w:rPr>
        <w:t xml:space="preserve">. </w:t>
      </w:r>
      <w:proofErr w:type="spellStart"/>
      <w:r w:rsidRPr="00BD5483">
        <w:rPr>
          <w:sz w:val="20"/>
        </w:rPr>
        <w:t>Zanten</w:t>
      </w:r>
      <w:proofErr w:type="spellEnd"/>
      <w:r w:rsidRPr="00BD5483">
        <w:rPr>
          <w:sz w:val="20"/>
        </w:rPr>
        <w:t xml:space="preserve"> et al find that, using the ES, participants attach an importance to smaller-scale features of agricultural landscapes such as tree lines, small woods and the presence of livestock. whereas conventional methods often picked out larger features of land cover such as forested areas. </w:t>
      </w:r>
    </w:p>
    <w:p w:rsidR="003F789A" w:rsidRDefault="003F789A" w:rsidP="00BD5483">
      <w:pPr>
        <w:rPr>
          <w:sz w:val="20"/>
        </w:rPr>
      </w:pPr>
    </w:p>
    <w:p w:rsidR="003F789A" w:rsidRPr="00BD5483" w:rsidRDefault="003F789A" w:rsidP="00BD5483">
      <w:pPr>
        <w:rPr>
          <w:sz w:val="20"/>
        </w:rPr>
      </w:pPr>
      <w:r w:rsidRPr="00BD5483">
        <w:rPr>
          <w:sz w:val="20"/>
        </w:rPr>
        <w:t xml:space="preserve">By comparison, the authors find that a landscape features assessment examines features in isolation and may fail to take into account the wider landscape context. They argue that by combining CE with photographs instead, participants are required to take into account various landscape attributes in the image, the perceived value of which can then be traded-off using a choice experiment (CE). The same more integrated assessment was found to be true of the landscape structure and compositional assessments. </w:t>
      </w:r>
    </w:p>
    <w:p w:rsidR="003F789A" w:rsidRPr="00BD5483" w:rsidRDefault="003F789A" w:rsidP="00BD5483"/>
    <w:p w:rsidR="003F789A" w:rsidRDefault="003F789A" w:rsidP="006D566F">
      <w:pPr>
        <w:pStyle w:val="Heading2"/>
        <w:numPr>
          <w:ilvl w:val="1"/>
          <w:numId w:val="37"/>
        </w:numPr>
        <w:tabs>
          <w:tab w:val="clear" w:pos="720"/>
          <w:tab w:val="num" w:pos="851"/>
        </w:tabs>
        <w:spacing w:line="240" w:lineRule="auto"/>
        <w:ind w:left="851" w:hanging="851"/>
        <w:rPr>
          <w:rFonts w:ascii="Arial Bold" w:hAnsi="Arial Bold"/>
          <w:color w:val="339966"/>
        </w:rPr>
      </w:pPr>
      <w:bookmarkStart w:id="115" w:name="_Toc436915622"/>
      <w:bookmarkStart w:id="116" w:name="_Toc436916063"/>
      <w:r w:rsidRPr="008C28CE">
        <w:rPr>
          <w:rFonts w:ascii="Arial Bold" w:hAnsi="Arial Bold"/>
          <w:color w:val="339966"/>
        </w:rPr>
        <w:lastRenderedPageBreak/>
        <w:t>Using choice modelling to map aesthetic values at a landscape scale: lessons from a Dutch case study</w:t>
      </w:r>
      <w:bookmarkEnd w:id="115"/>
      <w:bookmarkEnd w:id="116"/>
    </w:p>
    <w:p w:rsidR="003F789A" w:rsidRPr="006D566F" w:rsidRDefault="003F789A" w:rsidP="008C28CE">
      <w:pPr>
        <w:rPr>
          <w:b/>
        </w:rPr>
      </w:pPr>
    </w:p>
    <w:p w:rsidR="003F789A" w:rsidRDefault="003F789A" w:rsidP="006D566F">
      <w:pPr>
        <w:tabs>
          <w:tab w:val="left" w:pos="851"/>
        </w:tabs>
        <w:spacing w:line="360" w:lineRule="auto"/>
        <w:rPr>
          <w:rFonts w:cs="Arial"/>
          <w:b/>
          <w:color w:val="000000"/>
          <w:sz w:val="20"/>
          <w:lang w:val="nl-NL"/>
        </w:rPr>
      </w:pPr>
      <w:r w:rsidRPr="008125BB">
        <w:rPr>
          <w:b/>
          <w:sz w:val="20"/>
          <w:lang w:val="en-US"/>
        </w:rPr>
        <w:tab/>
      </w:r>
      <w:r w:rsidRPr="006D566F">
        <w:rPr>
          <w:b/>
          <w:sz w:val="20"/>
          <w:lang w:val="nl-NL"/>
        </w:rPr>
        <w:t>Boris T. van Zanten, Peter H. Verburg,  Samantha S.K. .</w:t>
      </w:r>
      <w:r w:rsidRPr="006D566F">
        <w:rPr>
          <w:rFonts w:cs="Arial"/>
          <w:b/>
          <w:color w:val="000000"/>
          <w:sz w:val="20"/>
          <w:lang w:val="nl-NL"/>
        </w:rPr>
        <w:t>Scholte, K.F.Tieskens, K.F.</w:t>
      </w:r>
    </w:p>
    <w:p w:rsidR="003F789A" w:rsidRPr="008125BB" w:rsidRDefault="003F789A" w:rsidP="006D566F">
      <w:pPr>
        <w:tabs>
          <w:tab w:val="left" w:pos="851"/>
        </w:tabs>
        <w:spacing w:line="360" w:lineRule="auto"/>
        <w:rPr>
          <w:rFonts w:cs="Arial"/>
          <w:color w:val="000000"/>
          <w:sz w:val="20"/>
          <w:lang w:val="en-US"/>
        </w:rPr>
      </w:pPr>
      <w:r>
        <w:rPr>
          <w:rFonts w:cs="Arial"/>
          <w:b/>
          <w:color w:val="000000"/>
          <w:sz w:val="20"/>
          <w:lang w:val="nl-NL"/>
        </w:rPr>
        <w:tab/>
      </w:r>
      <w:r w:rsidRPr="008125BB">
        <w:rPr>
          <w:rFonts w:cs="Arial"/>
          <w:color w:val="000000"/>
          <w:sz w:val="20"/>
          <w:lang w:val="en-US"/>
        </w:rPr>
        <w:t>Based on paper submitted to Ecological Economics</w:t>
      </w:r>
    </w:p>
    <w:p w:rsidR="003F789A" w:rsidRPr="004B458C" w:rsidRDefault="003F789A" w:rsidP="008C28CE">
      <w:pPr>
        <w:pStyle w:val="Heading3"/>
        <w:numPr>
          <w:ilvl w:val="0"/>
          <w:numId w:val="0"/>
        </w:numPr>
        <w:spacing w:before="240" w:line="276" w:lineRule="auto"/>
        <w:rPr>
          <w:rFonts w:cs="Arial"/>
          <w:color w:val="000000"/>
          <w:sz w:val="20"/>
        </w:rPr>
      </w:pPr>
      <w:bookmarkStart w:id="117" w:name="_Toc436915623"/>
      <w:bookmarkStart w:id="118" w:name="_Toc436916064"/>
      <w:r>
        <w:rPr>
          <w:rStyle w:val="Heading3Char"/>
        </w:rPr>
        <w:t>4.2.1</w:t>
      </w:r>
      <w:r>
        <w:rPr>
          <w:rStyle w:val="Heading3Char"/>
        </w:rPr>
        <w:tab/>
        <w:t>I</w:t>
      </w:r>
      <w:r w:rsidRPr="008C28CE">
        <w:rPr>
          <w:rStyle w:val="Heading3Char"/>
        </w:rPr>
        <w:t>ntroduction</w:t>
      </w:r>
      <w:bookmarkEnd w:id="117"/>
      <w:bookmarkEnd w:id="118"/>
    </w:p>
    <w:p w:rsidR="003F789A" w:rsidRDefault="003F789A" w:rsidP="008C28CE">
      <w:pPr>
        <w:spacing w:line="360" w:lineRule="auto"/>
        <w:rPr>
          <w:rFonts w:cs="Arial"/>
          <w:color w:val="000000"/>
          <w:sz w:val="20"/>
        </w:rPr>
      </w:pPr>
      <w:r w:rsidRPr="004B458C">
        <w:rPr>
          <w:rFonts w:cs="Arial"/>
          <w:color w:val="000000"/>
          <w:sz w:val="20"/>
        </w:rPr>
        <w:t xml:space="preserve">Quantifying and mapping ecosystem services is increasingly employed to guide policies in their search for environmental sustainability. Traditionally, most mapping and quantification studies have addressed regulating and/or provisioning ecosystem services </w:t>
      </w:r>
      <w:r w:rsidRPr="004B458C">
        <w:rPr>
          <w:rFonts w:cs="Arial"/>
          <w:color w:val="000000"/>
          <w:sz w:val="20"/>
        </w:rPr>
        <w:fldChar w:fldCharType="begin" w:fldLock="1"/>
      </w:r>
      <w:r w:rsidRPr="004B458C">
        <w:rPr>
          <w:rFonts w:cs="Arial"/>
          <w:color w:val="000000"/>
          <w:sz w:val="20"/>
        </w:rPr>
        <w:instrText>ADDIN CSL_CITATION { "citationItems" : [ { "id" : "ITEM-1", "itemData" : { "DOI" : "10.1080/21513732.2012.663792", "ISBN" : "2151-3732\\r2151-3740", "ISSN" : "2151-3732", "abstract" : "Mapping key areas for ecosystem service (ES) supply is essential for the development of strategies that will ensure their future supply. Given the rapid development in this area of research, we performed a review of different approaches used to map ES, with a special focus on those that use social\u2013ecological data. We used an analytical framework based on five criteria for analyzing and comparing the methodological approaches: the types of ES, availability of data sources, types of data sources, spatial scale, and methods used to model ES. We found that regulating services were the most commonly mapped, followed by provisioning, cultural, and supporting services. Secondary (readily available) data were used more frequently than primary data to map ES. Biophysical data (land-cover variables) and mixed sources (databases like global statistics) were the most commonly employed ones. Most studies were performed at the regional or at the national scale. The most commonly used method to model services was the development of models based on the well-known causal relationships between environmental variables, followed by the extrapolation of ES values from primary data to the total analyzed area frequently using land-cover maps. Our synthesis reveals that the majority of studies are based on secondary data, applied at broad scales, without validation techniques. There is an urgent need to develop methods for deepening our understanding of the social\u2013ecological processes behind the supply of ES in order to improve our ability to map ES for decision making.", "author" : [ { "dropping-particle" : "", "family" : "Mart\u00ednez-Harms", "given" : "Mar\u00eda Jos\u00e9", "non-dropping-particle" : "", "parse-names" : false, "suffix" : "" }, { "dropping-particle" : "", "family" : "Balvanera", "given" : "Patricia", "non-dropping-particle" : "", "parse-names" : false, "suffix" : "" } ], "container-title" : "International Journal of Biodiversity Science, Ecosystem Services &amp; Management", "id" : "ITEM-1", "issue" : "January 2015", "issued" : { "date-parts" : [ [ "2012" ] ] }, "page" : "17-25", "title" : "Methods for mapping ecosystem service supply: a review", "type" : "article-journal", "volume" : "8" }, "uris" : [ "http://www.mendeley.com/documents/?uuid=6ff05891-0806-4ea0-b588-6465fb6f1332" ] }, { "id" : "ITEM-2", "itemData" : { "DOI" : "10.1016/j.ecoser.2013.02.001", "ISSN" : "22120416", "author" : [ { "dropping-particle" : "", "family" : "Crossman", "given" : "Neville D.", "non-dropping-particle" : "", "parse-names" : false, "suffix" : "" }, { "dropping-particle" : "", "family" : "Burkhard", "given" : "Benjamin", "non-dropping-particle" : "", "parse-names" : false, "suffix" : "" }, { "dropping-particle" : "", "family" : "Nedkov", "given" : "Stoyan", "non-dropping-particle" : "", "parse-names" : false, "suffix" : "" }, { "dropping-particle" : "", "family" : "Willemen", "given" : "Louise", "non-dropping-particle" : "", "parse-names" : false, "suffix" : "" }, { "dropping-particle" : "", "family" : "Petz", "given" : "Katalin", "non-dropping-particle" : "", "parse-names" : false, "suffix" : "" }, { "dropping-particle" : "", "family" : "Palomo", "given" : "Ignacio", "non-dropping-particle" : "", "parse-names" : false, "suffix" : "" }, { "dropping-particle" : "", "family" : "Drakou", "given" : "Evangelia G.", "non-dropping-particle" : "", "parse-names" : false, "suffix" : "" }, { "dropping-particle" : "", "family" : "Mart\u00edn-Lopez", "given" : "Berta", "non-dropping-particle" : "", "parse-names" : false, "suffix" : "" }, { "dropping-particle" : "", "family" : "McPhearson", "given" : "Timon", "non-dropping-particle" : "", "parse-names" : false, "suffix" : "" }, { "dropping-particle" : "", "family" : "Boyanova", "given" : "Kremena", "non-dropping-particle" : "", "parse-names" : false, "suffix" : "" }, { "dropping-particle" : "", "family" : "Alkemade", "given" : "Rob", "non-dropping-particle" : "", "parse-names" : false, "suffix" : "" }, { "dropping-particle" : "", "family" : "Egoh", "given" : "Benis", "non-dropping-particle" : "", "parse-names" : false, "suffix" : "" }, { "dropping-particle" : "", "family" : "Dunbar", "given" : "Martha B.", "non-dropping-particle" : "", "parse-names" : false, "suffix" : "" }, { "dropping-particle" : "", "family" : "Maes", "given" : "Joachim", "non-dropping-particle" : "", "parse-names" : false, "suffix" : "" } ], "container-title" : "Ecosystem Services", "id" : "ITEM-2", "issued" : { "date-parts" : [ [ "2013", "6" ] ] }, "page" : "4-14", "title" : "A blueprint for mapping and modelling ecosystem services", "type" : "article-journal", "volume" : "4" }, "uris" : [ "http://www.mendeley.com/documents/?uuid=918978b8-5664-4aee-aeb7-5d9891e3156e" ] } ], "mendeley" : { "formattedCitation" : "(Crossman et al., 2013; Mart\u00ednez-Harms and Balvanera, 2012)", "plainTextFormattedCitation" : "(Crossman et al., 2013; Mart\u00ednez-Harms and Balvanera, 2012)", "previouslyFormattedCitation" : "(Crossman et al., 2013; Mart\u00ednez-Harms and Balvanera, 2012)"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(Crossman et al., 2013; Martínez-Harms and Balvanera, 2012)</w:t>
      </w:r>
      <w:r w:rsidRPr="004B458C">
        <w:rPr>
          <w:rFonts w:cs="Arial"/>
          <w:color w:val="000000"/>
          <w:sz w:val="20"/>
        </w:rPr>
        <w:fldChar w:fldCharType="end"/>
      </w:r>
      <w:r w:rsidRPr="004B458C">
        <w:rPr>
          <w:rFonts w:cs="Arial"/>
          <w:color w:val="000000"/>
          <w:sz w:val="20"/>
        </w:rPr>
        <w:t xml:space="preserve">. Mapping cultural services has been more challenging as these services do not directly relate to physical or ecological processes that are linked to common datasets and observatories, but evolve from human interaction with the site and the environmental perception of people </w:t>
      </w:r>
      <w:r w:rsidRPr="004B458C">
        <w:rPr>
          <w:rFonts w:cs="Arial"/>
          <w:color w:val="000000"/>
          <w:sz w:val="20"/>
        </w:rPr>
        <w:fldChar w:fldCharType="begin" w:fldLock="1"/>
      </w:r>
      <w:r w:rsidRPr="004B458C">
        <w:rPr>
          <w:rFonts w:cs="Arial"/>
          <w:color w:val="000000"/>
          <w:sz w:val="20"/>
        </w:rPr>
        <w:instrText>ADDIN CSL_CITATION { "citationItems" : [ { "id" : "ITEM-1", "itemData" : { "DOI" : "http://dx.doi.org/10.5751/", "author" : [ { "dropping-particle" : "", "family" : "Plieninger", "given" : "Tobias", "non-dropping-particle" : "", "parse-names" : false, "suffix" : "" }, { "dropping-particle" : "", "family" : "Kizos", "given" : "Thanasis", "non-dropping-particle" : "", "parse-names" : false, "suffix" : "" }, { "dropping-particle" : "", "family" : "Bieling", "given" : "Claudia", "non-dropping-particle" : "", "parse-names" : false, "suffix" : "" }, { "dropping-particle" : "Le", "family" : "D\u00fb-blayo", "given" : "Laurence", "non-dropping-particle" : "", "parse-names" : false, "suffix" : "" }, { "dropping-particle" : "", "family" : "Budniok", "given" : "Marie-alice", "non-dropping-particle" : "", "parse-names" : false, "suffix" : "" }, { "dropping-particle" : "", "family" : "B\u00fcrgi", "given" : "Matthias", "non-dropping-particle" : "", "parse-names" : false, "suffix" : "" }, { "dropping-particle" : "", "family" : "Carole", "given" : "L", "non-dropping-particle" : "", "parse-names" : false, "suffix" : "" } ], "container-title" : "Ecology And Society", "id" : "ITEM-1", "issue" : "2", "issued" : { "date-parts" : [ [ "2015" ] ] }, "page" : "5", "title" : "Exploring ecosystem-change and society through a landscape lens : recent progress in European landscape research", "type" : "article-journal", "volume" : "20" }, "uris" : [ "http://www.mendeley.com/documents/?uuid=2a52b670-0004-4e9c-adc5-6dcfe512b5ff" ] } ], "mendeley" : { "formattedCitation" : "(Plieninger et al., 2015)", "plainTextFormattedCitation" : "(Plieninger et al., 2015)", "previouslyFormattedCitation" : "(Plieninger et al., 2015)"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(Plieninger et al., 2015)</w:t>
      </w:r>
      <w:r w:rsidRPr="004B458C">
        <w:rPr>
          <w:rFonts w:cs="Arial"/>
          <w:color w:val="000000"/>
          <w:sz w:val="20"/>
        </w:rPr>
        <w:fldChar w:fldCharType="end"/>
      </w:r>
      <w:r w:rsidRPr="004B458C">
        <w:rPr>
          <w:rFonts w:cs="Arial"/>
          <w:color w:val="000000"/>
          <w:sz w:val="20"/>
        </w:rPr>
        <w:t xml:space="preserve">. Consequently, the absence of an evident universal link between physical features of landscapes and cultural services, such as aesthetic and recreational values, complicates the design of effective landscape policies that aim to safeguard this type of services </w:t>
      </w:r>
      <w:r w:rsidRPr="004B458C">
        <w:rPr>
          <w:rFonts w:cs="Arial"/>
          <w:color w:val="000000"/>
          <w:sz w:val="20"/>
        </w:rPr>
        <w:fldChar w:fldCharType="begin" w:fldLock="1"/>
      </w:r>
      <w:r w:rsidRPr="004B458C">
        <w:rPr>
          <w:rFonts w:cs="Arial"/>
          <w:color w:val="000000"/>
          <w:sz w:val="20"/>
        </w:rPr>
        <w:instrText>ADDIN CSL_CITATION { "citationItems" : [ { "id" : "ITEM-1", "itemData" : { "DOI" : "10.1007/s13593-013-0183-4", "ISSN" : "1774-0746", "author" : [ { "dropping-particle" : "", "family" : "Zanten", "given" : "Boris T.", "non-dropping-particle" : "van", "parse-names" : false, "suffix" : "" }, { "dropping-particle" : "", "family" : "Verburg", "given" : "Peter H.", "non-dropping-particle" : "", "parse-names" : false, "suffix" : "" }, { "dropping-particle" : "", "family" : "Espinosa", "given" : "Maria", "non-dropping-particle" : "", "parse-names" : false, "suffix" : "" }, { "dropping-particle" : "", "family" : "Gomez-y-Paloma", "given" : "Sergio", "non-dropping-particle" : "", "parse-names" : false, "suffix" : "" }, { "dropping-particle" : "", "family" : "Galimberti", "given" : "Giuliano", "non-dropping-particle" : "", "parse-names" : false, "suffix" : "" }, { "dropping-particle" : "", "family" : "Kantelhardt", "given" : "Jochen", "non-dropping-particle" : "", "parse-names" : false, "suffix" : "" }, { "dropping-particle" : "", "family" : "Kapfer", "given" : "Martin", "non-dropping-particle" : "", "parse-names" : false, "suffix" : "" }, { "dropping-particle" : "", "family" : "Lefebvre", "given" : "Marianne", "non-dropping-particle" : "", "parse-names" : false, "suffix" : "" }, { "dropping-particle" : "", "family" : "Manrique", "given" : "Rosa", "non-dropping-particle" : "", "parse-names" : false, "suffix" : "" }, { "dropping-particle" : "", "family" : "Piorr", "given" : "Annette", "non-dropping-particle" : "", "parse-names" : false, "suffix" : "" }, { "dropping-particle" : "", "family" : "Raggi", "given" : "Meri", "non-dropping-particle" : "", "parse-names" : false, "suffix" : "" }, { "dropping-particle" : "", "family" : "Schaller", "given" : "Lena", "non-dropping-particle" : "", "parse-names" : false, "suffix" : "" }, { "dropping-particle" : "", "family" : "Targetti", "given" : "Stefano", "non-dropping-particle" : "", "parse-names" : false, "suffix" : "" }, { "dropping-particle" : "", "family" : "Zasada", "given" : "Ingo", "non-dropping-particle" : "", "parse-names" : false, "suffix" : "" }, { "dropping-particle" : "", "family" : "Viaggi", "given" : "Davide", "non-dropping-particle" : "", "parse-names" : false, "suffix" : "" } ], "container-title" : "Agronomy for Sustainable Development", "id" : "ITEM-1", "issue" : "2", "issued" : { "date-parts" : [ [ "2014", "10", "25" ] ] }, "page" : "309-325", "title" : "European agricultural landscapes, common agricultural policy and ecosystem services: a review", "type" : "article-journal", "volume" : "34" }, "uris" : [ "http://www.mendeley.com/documents/?uuid=1b370c26-878d-48f5-91e6-894b4bf74c8d" ] } ], "mendeley" : { "formattedCitation" : "(van Zanten et al., 2014a)", "plainTextFormattedCitation" : "(van Zanten et al., 2014a)", "previouslyFormattedCitation" : "(van Zanten et al., 2014a)"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(van Zanten et al., 2014a)</w:t>
      </w:r>
      <w:r w:rsidRPr="004B458C">
        <w:rPr>
          <w:rFonts w:cs="Arial"/>
          <w:color w:val="000000"/>
          <w:sz w:val="20"/>
        </w:rPr>
        <w:fldChar w:fldCharType="end"/>
      </w:r>
      <w:r w:rsidRPr="004B458C">
        <w:rPr>
          <w:rFonts w:cs="Arial"/>
          <w:color w:val="000000"/>
          <w:sz w:val="20"/>
        </w:rPr>
        <w:t>.</w:t>
      </w:r>
    </w:p>
    <w:p w:rsidR="003F789A" w:rsidRPr="004B458C" w:rsidRDefault="003F789A" w:rsidP="008C28CE">
      <w:pPr>
        <w:spacing w:line="360" w:lineRule="auto"/>
        <w:rPr>
          <w:rFonts w:cs="Arial"/>
          <w:color w:val="000000"/>
          <w:sz w:val="20"/>
        </w:rPr>
      </w:pPr>
    </w:p>
    <w:p w:rsidR="003F789A" w:rsidRPr="004B458C" w:rsidRDefault="003F789A" w:rsidP="008C28CE">
      <w:pPr>
        <w:spacing w:line="360" w:lineRule="auto"/>
        <w:rPr>
          <w:rFonts w:cs="Arial"/>
          <w:color w:val="000000"/>
          <w:sz w:val="20"/>
        </w:rPr>
      </w:pPr>
      <w:r w:rsidRPr="004B458C">
        <w:rPr>
          <w:rFonts w:cs="Arial"/>
          <w:color w:val="000000"/>
          <w:sz w:val="20"/>
        </w:rPr>
        <w:t xml:space="preserve">Commonly, approaches to map cultural ecosystem services, especially those that address aesthetics or recreation potential, have been developed using secondary data or expert evaluation. These approaches either use simple look-up tables to relate the value of services to land-cover classes </w:t>
      </w:r>
      <w:r w:rsidRPr="004B458C">
        <w:rPr>
          <w:rFonts w:cs="Arial"/>
          <w:color w:val="000000"/>
          <w:sz w:val="20"/>
        </w:rPr>
        <w:fldChar w:fldCharType="begin" w:fldLock="1"/>
      </w:r>
      <w:r w:rsidRPr="004B458C">
        <w:rPr>
          <w:rFonts w:cs="Arial"/>
          <w:color w:val="000000"/>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"id" : "ITEM-2", "itemData" : { "DOI" : "10.1007/s00267-009-9384-7", "ISSN" : "1432-1009", "PMID" : "19856022", "abstract" : "We examine the advantages and disadvantages of a methodological framework designed to analyze the poorly understood relationships between the ecosystem properties of large portions of land, and their capacities (stocks) to provide goods and services (flows). These capacities (stocks) are referred to as landscape functions. The core of our assessment is a set of expert- and literature-driven binary links, expressing whether specific land uses or other environmental properties have a supportive or neutral role for given landscape functions. The binary links were applied to the environmental properties of 581 administrative units of Europe with widely differing environmental conditions and this resulted in a spatially explicit landscape function assessment. To check under what circumstances the binary links are able to replace complex interrelations, we compared the landscape function maps with independently generated continent-wide assessments (maps of ecosystem services or environmental parameters/indicators). This rigorous testing revealed that for 9 out of 15 functions the straightforward binary links work satisfactorily and generate plausible geographical patterns. This conclusion holds primarily for production functions. The sensitivity of the nine landscape functions to changes in land use was assessed with four land use scenarios (IPCC SRES). It was found that most European regions maintain their capacity to provide the selected services under any of the four scenarios, although in some cases at other locations within the region. At the proposed continental scale, the selected input parameters are thus valid proxies which can be used to assess the mid-term potential of landscapes to provide goods and services.", "author" : [ { "dropping-particle" : "", "family" : "Kienast", "given" : "Felix", "non-dropping-particle" : "", "parse-names" : false, "suffix" : "" }, { "dropping-particle" : "", "family" : "Bolliger", "given" : "Janine", "non-dropping-particle" : "", "parse-names" : false, "suffix" : "" }, { "dropping-particle" : "", "family" : "Potschin", "given" : "Marion", "non-dropping-particle" : "", "parse-names" : false, "suffix" : "" }, { "dropping-particle" : "", "family" : "Groot", "given" : "Rudolf S", "non-dropping-particle" : "de", "parse-names" : false, "suffix" : "" }, { "dropping-particle" : "", "family" : "Verburg", "given" : "Peter H", "non-dropping-particle" : "", "parse-names" : false, "suffix" : "" }, { "dropping-particle" : "", "family" : "Heller", "given" : "Iris", "non-dropping-particle" : "", "parse-names" : false, "suffix" : "" }, { "dropping-particle" : "", "family" : "Wascher", "given" : "Dirk", "non-dropping-particle" : "", "parse-names" : false, "suffix" : "" }, { "dropping-particle" : "", "family" : "Haines-Young", "given" : "Roy", "non-dropping-particle" : "", "parse-names" : false, "suffix" : "" } ], "container-title" : "Environmental management", "id" : "ITEM-2", "issue" : "6", "issued" : { "date-parts" : [ [ "2009", "12" ] ] }, "page" : "1099-120", "title" : "Assessing landscape functions with broad-scale environmental data: insights gained from a prototype development for Europe.", "type" : "article-journal", "volume" : "44" }, "uris" : [ "http://www.mendeley.com/documents/?uuid=314b138f-4d29-4693-ac32-107e65eb3ba0" ] }, { "id" : "ITEM-3", "itemData" : { "DOI" : "10.1016/j.ecolmodel.2014.08.024", "ISSN" : "03043800", "author" : [ { "dropping-particle" : "", "family" : "Jacobs", "given" : "Sander", "non-dropping-particle" : "", "parse-names" : false, "suffix" : "" }, { "dropping-particle" : "", "family" : "Burkhard", "given" : "Benjamin", "non-dropping-particle" : "", "parse-names" : false, "suffix" : "" }, { "dropping-particle" : "", "family" : "Daele", "given" : "Toon", "non-dropping-particle" : "Van", "parse-names" : false, "suffix" : "" }, { "dropping-particle" : "", "family" : "Staes", "given" : "Jan", "non-dropping-particle" : "", "parse-names" : false, "suffix" : "" }, { "dropping-particle" : "", "family" : "Schneiders", "given" : "Anik", "non-dropping-particle" : "", "parse-names" : false, "suffix" : "" } ], "container-title" : "Ecological Modelling", "id" : "ITEM-3", "issued" : { "date-parts" : [ [ "2015" ] ] }, "page" : "21-30", "publisher" : "Elsevier B.V.", "title" : "\u2018The Matrix Reloaded\u2019: A review of expert knowledge use for mapping ecosystem services", "type" : "article-journal", "volume" : "295" }, "uris" : [ "http://www.mendeley.com/documents/?uuid=73d40178-6b70-469d-a572-818697934958" ] } ], "mendeley" : { "formattedCitation" : "(Burkhard et al., 2009; Jacobs et al., 2015; Kienast et al., 2009)", "plainTextFormattedCitation" : "(Burkhard et al., 2009; Jacobs et al., 2015; Kienast et al., 2009)", "previouslyFormattedCitation" : "(Burkhard et al., 2009; Jacobs et al., 2015; Kienast et al., 2009)"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(Burkhard et al., 2009; Jacobs et al., 2015; Kienast et al., 2009)</w:t>
      </w:r>
      <w:r w:rsidRPr="004B458C">
        <w:rPr>
          <w:rFonts w:cs="Arial"/>
          <w:color w:val="000000"/>
          <w:sz w:val="20"/>
        </w:rPr>
        <w:fldChar w:fldCharType="end"/>
      </w:r>
      <w:r w:rsidRPr="004B458C">
        <w:rPr>
          <w:rFonts w:cs="Arial"/>
          <w:color w:val="000000"/>
          <w:sz w:val="20"/>
        </w:rPr>
        <w:t xml:space="preserve">, or assume relations between cultural services and indicators that describe the state of an ecological system (e.g. naturalness or diversity) </w:t>
      </w:r>
      <w:r w:rsidRPr="004B458C">
        <w:rPr>
          <w:rFonts w:cs="Arial"/>
          <w:color w:val="000000"/>
          <w:sz w:val="20"/>
        </w:rPr>
        <w:fldChar w:fldCharType="begin" w:fldLock="1"/>
      </w:r>
      <w:r w:rsidRPr="004B458C">
        <w:rPr>
          <w:rFonts w:cs="Arial"/>
          <w:color w:val="000000"/>
          <w:sz w:val="20"/>
        </w:rPr>
        <w:instrText>ADDIN CSL_CITATION { "citationItems" : [ { "id" : "ITEM-1", "itemData" : { "DOI" : "10.1007/s10980-013-9945-2", "ISSN" : "0921-2973", "author" : [ { "dropping-particle" : "", "family" : "Casado-Arzuaga", "given" : "Izaskun", "non-dropping-particle" : "", "parse-names" : false, "suffix" : "" }, { "dropping-particle" : "", "family" : "Onaindia", "given" : "Miren", "non-dropping-particle" : "", "parse-names" : false, "suffix" : "" }, { "dropping-particle" : "", "family" : "Madariaga", "given" : "Iosu", "non-dropping-particle" : "", "parse-names" : false, "suffix" : "" }, { "dropping-particle" : "", "family" : "Verburg", "given" : "Peter H.", "non-dropping-particle" : "", "parse-names" : false, "suffix" : "" } ], "container-title" : "Landscape Ecology", "id" : "ITEM-1", "issue" : "8", "issued" : { "date-parts" : [ [ "2013", "9", "29" ] ] }, "page" : "1393-1405", "title" : "Mapping recreation and aesthetic value of ecosystems in the Bilbao Metropolitan Greenbelt (northern Spain) to support landscape planning", "type" : "article-journal", "volume" : "29" }, "uris" : [ "http://www.mendeley.com/documents/?uuid=b1cecc80-b37b-4c69-b614-b8e1b01e41fa" ] } ], "mendeley" : { "formattedCitation" : "(Casado-Arzuaga et al., 2013)", "plainTextFormattedCitation" : "(Casado-Arzuaga et al., 2013)", "previouslyFormattedCitation" : "(Casado-Arzuaga et al., 2013)"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(Casado-Arzuaga et al., 2013)</w:t>
      </w:r>
      <w:r w:rsidRPr="004B458C">
        <w:rPr>
          <w:rFonts w:cs="Arial"/>
          <w:color w:val="000000"/>
          <w:sz w:val="20"/>
        </w:rPr>
        <w:fldChar w:fldCharType="end"/>
      </w:r>
      <w:r w:rsidRPr="004B458C">
        <w:rPr>
          <w:rFonts w:cs="Arial"/>
          <w:color w:val="000000"/>
          <w:sz w:val="20"/>
        </w:rPr>
        <w:t xml:space="preserve">. These studies have in common that they do not explicitly account for the multiple causality of cultural services and aesthetics specifically: Next to physical features of landscapes (e.g. land-cover), the benefits that people obtain from cultural services depend on individual, cultural and socio-ecological contexts </w:t>
      </w:r>
      <w:r w:rsidRPr="004B458C">
        <w:rPr>
          <w:rFonts w:cs="Arial"/>
          <w:color w:val="000000"/>
          <w:sz w:val="20"/>
        </w:rPr>
        <w:fldChar w:fldCharType="begin" w:fldLock="1"/>
      </w:r>
      <w:r w:rsidRPr="004B458C">
        <w:rPr>
          <w:rFonts w:cs="Arial"/>
          <w:color w:val="000000"/>
          <w:sz w:val="20"/>
        </w:rPr>
        <w:instrText>ADDIN CSL_CITATION { "citationItems" : [ { "id" : "ITEM-1", "itemData" : { "DOI" : "10.1525/bio.2012.62.8.7", "ISSN" : "00063568", "author" : [ { "dropping-particle" : "", "family" : "Chan", "given" : "Kai M A", "non-dropping-particle" : "", "parse-names" : false, "suffix" : "" }, { "dropping-particle" : "", "family" : "Guerry", "given" : "Anne D", "non-dropping-particle" : "", "parse-names" : false, "suffix" : "" }, { "dropping-particle" : "", "family" : "Balvanera", "given" : "Patricia", "non-dropping-particle" : "", "parse-names" : false, "suffix" : "" }, { "dropping-particle" : "", "family" : "Klain", "given" : "Sarah", "non-dropping-particle" : "", "parse-names" : false, "suffix" : "" }, { "dropping-particle" : "", "family" : "Satterfield", "given" : "Terre", "non-dropping-particle" : "", "parse-names" : false, "suffix" : "" }, { "dropping-particle" : "", "family" : "Bostrom", "given" : "Ann", "non-dropping-particle" : "", "parse-names" : false, "suffix" : "" }, { "dropping-particle" : "", "family" : "Chuenpagdee", "given" : "Ratana", "non-dropping-particle" : "", "parse-names" : false, "suffix" : "" }, { "dropping-particle" : "", "family" : "Gould", "given" : "Rachelle", "non-dropping-particle" : "", "parse-names" : false, "suffix" : "" }, { "dropping-particle" : "", "family" : "Halpern", "given" : "Benjamin S", "non-dropping-particle" : "", "parse-names" : false, "suffix" : "" }, { "dropping-particle" : "", "family" : "Hannahs", "given" : "Neil", "non-dropping-particle" : "", "parse-names" : false, "suffix" : "" }, { "dropping-particle" : "", "family" : "Levine", "given" : "Jordan", "non-dropping-particle" : "", "parse-names" : false, "suffix" : "" }, { "dropping-particle" : "", "family" : "Norton", "given" : "Bryan", "non-dropping-particle" : "", "parse-names" : false, "suffix" : "" }, { "dropping-particle" : "", "family" : "Ruckelshaus", "given" : "Mary", "non-dropping-particle" : "", "parse-names" : false, "suffix" : "" }, { "dropping-particle" : "", "family" : "Russell", "given" : "Roly", "non-dropping-particle" : "", "parse-names" : false, "suffix" : "" }, { "dropping-particle" : "", "family" : "Tam", "given" : "Jordan", "non-dropping-particle" : "", "parse-names" : false, "suffix" : "" }, { "dropping-particle" : "", "family" : "Woodside", "given" : "Ulalia", "non-dropping-particle" : "", "parse-names" : false, "suffix" : "" } ], "container-title" : "BioScience", "id" : "ITEM-1", "issue" : "8", "issued" : { "date-parts" : [ [ "2012", "8" ] ] }, "page" : "744-756", "title" : "Where are Cultural and Social in Ecosystem Services? A Framework for Constructive Engagement", "type" : "article-journal", "volume" : "62" }, "uris" : [ "http://www.mendeley.com/documents/?uuid=71d8f248-19ef-4dae-a5b9-334aa4e381cd" ] }, { "id" : "ITEM-2", "itemData" : { "abstract" : "The Scenic Beauty Estimation Method (SBE) provides quantitative measures of esthetic preferences for alternative wildland management systems. Extensive experimentation and testing with user, interest, and professional groups validated the method. SBE shows promise as an efficient and objective means for assessing the scenic beauty of public forests and wildlands, and also for predicting the esthetic consequences of alternative land uses. Extensions and modifications of the basic methodology offer potentially useful design, planning, and management tools.", "author" : [ { "dropping-particle" : "", "family" : "Daniel", "given" : "Terry C.", "non-dropping-particle" : "", "parse-names" : false, "suffix" : "" }, { "dropping-particle" : "", "family" : "Boster", "given" : "Ron S.", "non-dropping-particle" : "", "parse-names" : false, "suffix" : "" } ], "container-title" : "USDA Forest Service Research Paper", "id" : "ITEM-2", "issued" : { "date-parts" : [ [ "1976" ] ] }, "number-of-pages" : "64", "title" : "Measuring landscape esthetics: the scenic beauty estimation method", "type" : "report" }, "uris" : [ "http://www.mendeley.com/documents/?uuid=4175fd55-9328-4c02-bef5-197bf0c86dbf" ] }, { "id" : "ITEM-3", "itemData" : { "DOI" : "10.1016/j.ecolind.2011.12.004", "ISSN" : "1470160X", "author" : [ { "dropping-particle" : "", "family" : "Fagerholm", "given" : "Nora", "non-dropping-particle" : "", "parse-names" : false, "suffix" : "" }, { "dropping-particle" : "", "family" : "K\u00e4yhk\u00f6", "given" : "Niina", "non-dropping-particle" : "", "parse-names" : false, "suffix" : "" }, { "dropping-particle" : "", "family" : "Ndumbaro", "given" : "Festo", "non-dropping-particle" : "", "parse-names" : false, "suffix" : "" }, { "dropping-particle" : "", "family" : "Khamis", "given" : "Miza", "non-dropping-particle" : "", "parse-names" : false, "suffix" : "" } ], "container-title" : "Ecological Indicators", "id" : "ITEM-3", "issued" : { "date-parts" : [ [ "2012", "7" ] ] }, "page" : "421-433", "publisher" : "Elsevier Ltd", "title" : "Community stakeholders\u2019 knowledge in landscape assessments \u2013 Mapping indicators for landscape services", "type" : "article-journal", "volume" : "18" }, "uris" : [ "http://www.mendeley.com/documents/?uuid=ce850377-8827-4e37-8eb3-98572d3077ef" ] } ], "mendeley" : { "formattedCitation" : "(Chan et al., 2012; Daniel and Boster, 1976; Fagerholm et al., 2012)", "plainTextFormattedCitation" : "(Chan et al., 2012; Daniel and Boster, 1976; Fagerholm et al., 2012)", "previouslyFormattedCitation" : "(Chan et al., 2012; Daniel and Boster, 1976; Fagerholm et al., 2012)"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(Chan et al., 2012; Daniel and Boster, 1976; Fagerholm et al., 2012)</w:t>
      </w:r>
      <w:r w:rsidRPr="004B458C">
        <w:rPr>
          <w:rFonts w:cs="Arial"/>
          <w:color w:val="000000"/>
          <w:sz w:val="20"/>
        </w:rPr>
        <w:fldChar w:fldCharType="end"/>
      </w:r>
      <w:r w:rsidRPr="004B458C">
        <w:rPr>
          <w:rFonts w:cs="Arial"/>
          <w:color w:val="000000"/>
          <w:sz w:val="20"/>
        </w:rPr>
        <w:t xml:space="preserve">, and therefore, these assessments lose credibility when values are spatially extrapolated over inappropriate scales </w:t>
      </w:r>
      <w:r w:rsidRPr="004B458C">
        <w:rPr>
          <w:rFonts w:cs="Arial"/>
          <w:color w:val="000000"/>
          <w:sz w:val="20"/>
        </w:rPr>
        <w:fldChar w:fldCharType="begin" w:fldLock="1"/>
      </w:r>
      <w:r w:rsidRPr="004B458C">
        <w:rPr>
          <w:rFonts w:cs="Arial"/>
          <w:color w:val="000000"/>
          <w:sz w:val="20"/>
        </w:rPr>
        <w:instrText>ADDIN CSL_CITATION { "citationItems" : [ { "id" : "ITEM-1", "itemData" : { "DOI" : "10.1016/j.ecoser.2014.09.002", "ISSN" : "22120416", "author" : [ { "dropping-particle" : "", "family" : "Geijzendorffer", "given" : "I.R.", "non-dropping-particle" : "", "parse-names" : false, "suffix" : "" }, { "dropping-particle" : "", "family" : "Roche", "given" : "P.K.", "non-dropping-particle" : "", "parse-names" : false, "suffix" : "" } ], "container-title" : "Ecosystem Services", "id" : "ITEM-1", "issued" : { "date-parts" : [ [ "2014" ] ] }, "page" : "49-51", "publisher" : "Elsevier", "title" : "The relevant scales of ecosystem services demand", "type" : "article-journal", "volume" : "10" }, "uris" : [ "http://www.mendeley.com/documents/?uuid=4e1c221a-feec-4aad-a2ad-7afe3918aa9b" ] } ], "mendeley" : { "formattedCitation" : "(Geijzendorffer and Roche, 2014)", "plainTextFormattedCitation" : "(Geijzendorffer and Roche, 2014)", "previouslyFormattedCitation" : "(Geijzendorffer and Roche, 2014)"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(Geijzendorffer and Roche, 2014)</w:t>
      </w:r>
      <w:r w:rsidRPr="004B458C">
        <w:rPr>
          <w:rFonts w:cs="Arial"/>
          <w:color w:val="000000"/>
          <w:sz w:val="20"/>
        </w:rPr>
        <w:fldChar w:fldCharType="end"/>
      </w:r>
      <w:r w:rsidRPr="004B458C">
        <w:rPr>
          <w:rFonts w:cs="Arial"/>
          <w:color w:val="000000"/>
          <w:sz w:val="20"/>
        </w:rPr>
        <w:t xml:space="preserve">. </w:t>
      </w:r>
    </w:p>
    <w:p w:rsidR="003F789A" w:rsidRDefault="003F789A" w:rsidP="008C28CE">
      <w:pPr>
        <w:spacing w:line="360" w:lineRule="auto"/>
        <w:rPr>
          <w:rFonts w:cs="Arial"/>
          <w:color w:val="000000"/>
          <w:sz w:val="20"/>
        </w:rPr>
      </w:pPr>
      <w:r w:rsidRPr="004B458C">
        <w:rPr>
          <w:rFonts w:cs="Arial"/>
          <w:color w:val="000000"/>
          <w:sz w:val="20"/>
        </w:rPr>
        <w:t xml:space="preserve">Outside the realm of the ecosystem service approach, a substantial body of methods and data has been developed to study the aesthetic and recreational value of landscapes through landscape preferences </w:t>
      </w:r>
      <w:r w:rsidRPr="004B458C">
        <w:rPr>
          <w:rFonts w:cs="Arial"/>
          <w:color w:val="000000"/>
          <w:sz w:val="20"/>
        </w:rPr>
        <w:fldChar w:fldCharType="begin" w:fldLock="1"/>
      </w:r>
      <w:r w:rsidRPr="004B458C">
        <w:rPr>
          <w:rFonts w:cs="Arial"/>
          <w:color w:val="000000"/>
          <w:sz w:val="20"/>
        </w:rPr>
        <w:instrText>ADDIN CSL_CITATION { "citationItems" : [ { "id" : "ITEM-1", "itemData" : { "DOI" : "10.1073/pnas.1114773109", "ISSN" : "1091-6490", "PMID" : "22615401", "abstract" : "Cultural ecosystem services (ES) are consistently recognized but not yet adequately defined or integrated within the ES framework. A substantial body of models, methods, and data relevant to cultural services has been developed within the social and behavioral sciences before and outside of the ES approach. A selective review of work in landscape aesthetics, cultural heritage, outdoor recreation, and spiritual significance demonstrates opportunities for operationally defining cultural services in terms of socioecological models, consistent with the larger set of ES. Such models explicitly link ecological structures and functions with cultural values and benefits, facilitating communication between scientists and stakeholders and enabling economic, multicriterion, deliberative evaluation and other methods that can clarify tradeoffs and synergies involving cultural ES. Based on this approach, a common representation is offered that frames cultural services, along with all ES, by the relative contribution of relevant ecological structures and functions and by applicable social evaluation approaches. This perspective provides a foundation for merging ecological and social science epistemologies to define and integrate cultural services better within the broader ES framework.", "author" : [ { "dropping-particle" : "", "family" : "Daniel", "given" : "Terry C", "non-dropping-particle" : "", "parse-names" : false, "suffix" : "" }, { "dropping-particle" : "", "family" : "Muhar", "given" : "Andreas", "non-dropping-particle" : "", "parse-names" : false, "suffix" : "" }, { "dropping-particle" : "", "family" : "Arnberger", "given" : "Arne", "non-dropping-particle" : "", "parse-names" : false, "suffix" : "" }, { "dropping-particle" : "", "family" : "Aznar", "given" : "Olivier", "non-dropping-particle" : "", "parse-names" : false, "suffix" : "" }, { "dropping-particle" : "", "family" : "Boyd", "given" : "James W", "non-dropping-particle" : "", "parse-names" : false, "suffix" : "" }, { "dropping-particle" : "", "family" : "Chan", "given" : "Kai M a", "non-dropping-particle" : "", "parse-names" : false, "suffix" : "" }, { "dropping-particle" : "", "family" : "Costanza", "given" : "Robert", "non-dropping-particle" : "", "parse-names" : false, "suffix" : "" }, { "dropping-particle" : "", "family" : "Elmqvist", "given" : "Thomas", "non-dropping-particle" : "", "parse-names" : false, "suffix" : "" }, { "dropping-particle" : "", "family" : "Flint", "given" : "Courtney G", "non-dropping-particle" : "", "parse-names" : false, "suffix" : "" }, { "dropping-particle" : "", "family" : "Gobster", "given" : "Paul H", "non-dropping-particle" : "", "parse-names" : false, "suffix" : "" }, { "dropping-particle" : "", "family" : "Gr\u00eat-Regamey", "given" : "Adrienne", "non-dropping-particle" : "", "parse-names" : false, "suffix" : "" }, { "dropping-particle" : "", "family" : "Lave", "given" : "Rebecca", "non-dropping-particle" : "", "parse-names" : false, "suffix" : "" }, { "dropping-particle" : "", "family" : "Muhar", "given" : "Susanne", "non-dropping-particle" : "", "parse-names" : false, "suffix" : "" }, { "dropping-particle" : "", "family" : "Penker", "given" : "Marianne", "non-dropping-particle" : "", "parse-names" : false, "suffix" : "" }, { "dropping-particle" : "", "family" : "Ribe", "given" : "Robert G", "non-dropping-particle" : "", "parse-names" : false, "suffix" : "" }, { "dropping-particle" : "", "family" : "Schauppenlehner", "given" : "Thomas", "non-dropping-particle" : "", "parse-names" : false, "suffix" : "" }, { "dropping-particle" : "", "family" : "Sikor", "given" : "Thomas", "non-dropping-particle" : "", "parse-names" : false, "suffix" : "" }, { "dropping-particle" : "", "family" : "Soloviy", "given" : "Ihor", "non-dropping-particle" : "", "parse-names" : false, "suffix" : "" }, { "dropping-particle" : "", "family" : "Spierenburg", "given" : "Marja", "non-dropping-particle" : "", "parse-names" : false, "suffix" : "" }, { "dropping-particle" : "", "family" : "Taczanowska", "given" : "Karolina", "non-dropping-particle" : "", "parse-names" : false, "suffix" : "" }, { "dropping-particle" : "", "family" : "Tam", "given" : "Jordan", "non-dropping-particle" : "", "parse-names" : false, "suffix" : "" }, { "dropping-particle" : "", "family" : "Dunk", "given" : "Andreas", "non-dropping-particle" : "von der", "parse-names" : false, "suffix" : "" } ], "container-title" : "Proceedings of the National Academy of Sciences of the United States of America", "id" : "ITEM-1", "issue" : "23", "issued" : { "date-parts" : [ [ "2012", "6", "5" ] ] }, "page" : "8812-9", "title" : "Contributions of cultural services to the ecosystem services agenda.", "type" : "article-journal", "volume" : "109" }, "uris" : [ "http://www.mendeley.com/documents/?uuid=055e146f-0f71-438d-86cf-a0920f85be21" ] } ], "mendeley" : { "formattedCitation" : "(Daniel et al., 2012)", "plainTextFormattedCitation" : "(Daniel et al., 2012)", "previouslyFormattedCitation" : "(Daniel et al., 2012)"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(Daniel et al., 2012)</w:t>
      </w:r>
      <w:r w:rsidRPr="004B458C">
        <w:rPr>
          <w:rFonts w:cs="Arial"/>
          <w:color w:val="000000"/>
          <w:sz w:val="20"/>
        </w:rPr>
        <w:fldChar w:fldCharType="end"/>
      </w:r>
      <w:r w:rsidRPr="004B458C">
        <w:rPr>
          <w:rFonts w:cs="Arial"/>
          <w:color w:val="000000"/>
          <w:sz w:val="20"/>
        </w:rPr>
        <w:t xml:space="preserve">. In these studies, sophisticated methods were developed to estimate the value of specific landscape features, but often they do not make these aesthetic and recreational values spatially explicit in the format of maps </w:t>
      </w:r>
      <w:r w:rsidRPr="004B458C">
        <w:rPr>
          <w:rFonts w:cs="Arial"/>
          <w:color w:val="000000"/>
          <w:sz w:val="20"/>
        </w:rPr>
        <w:fldChar w:fldCharType="begin" w:fldLock="1"/>
      </w:r>
      <w:r w:rsidRPr="004B458C">
        <w:rPr>
          <w:rFonts w:cs="Arial"/>
          <w:color w:val="000000"/>
          <w:sz w:val="20"/>
        </w:rPr>
        <w:instrText>ADDIN CSL_CITATION { "citationItems" : [ { "id" : "ITEM-1", "itemData" : { "DOI" : "10.1016/j.landurbplan.2014.08.012", "ISSN" : "01692046", "author" : [ { "dropping-particle" : "", "family" : "Zanten", "given" : "Boris T.", "non-dropping-particle" : "van", "parse-names" : false, "suffix" : "" }, { "dropping-particle" : "", "family" : "Verburg", "given" : "Peter H.", "non-dropping-particle" : "", "parse-names" : false, "suffix" : "" }, { "dropping-particle" : "", "family" : "Koetse", "given" : "Mark J", "non-dropping-particle" : "", "parse-names" : false, "suffix" : "" }, { "dropping-particle" : "", "family" : "Beukering", "given" : "Pieter J.H.", "non-dropping-particle" : "van", "parse-names" : false, "suffix" : "" } ], "container-title" : "Landscape and Urban Planning", "id" : "ITEM-1", "issued" : { "date-parts" : [ [ "2014", "12" ] ] }, "page" : "89-101", "title" : "Preferences for European agrarian landscapes: A meta-analysis of case studies", "type" : "article-journal", "volume" : "132" }, "uris" : [ "http://www.mendeley.com/documents/?uuid=7ef22999-9e55-4ba9-908d-45b2e35bda36" ] } ], "mendeley" : { "formattedCitation" : "(van Zanten et al., 2014b)", "plainTextFormattedCitation" : "(van Zanten et al., 2014b)", "previouslyFormattedCitation" : "(van Zanten et al., 2014b)"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(van Zanten et al., 2014b)</w:t>
      </w:r>
      <w:r w:rsidRPr="004B458C">
        <w:rPr>
          <w:rFonts w:cs="Arial"/>
          <w:color w:val="000000"/>
          <w:sz w:val="20"/>
        </w:rPr>
        <w:fldChar w:fldCharType="end"/>
      </w:r>
      <w:r w:rsidRPr="004B458C">
        <w:rPr>
          <w:rFonts w:cs="Arial"/>
          <w:color w:val="000000"/>
          <w:sz w:val="20"/>
        </w:rPr>
        <w:t xml:space="preserve">. Typically, landscape preference studies use landscape photographs as a surrogate for a ‘real’ landscape experience in a particular case study area </w:t>
      </w:r>
      <w:r w:rsidRPr="004B458C">
        <w:rPr>
          <w:rFonts w:cs="Arial"/>
          <w:color w:val="000000"/>
          <w:sz w:val="20"/>
        </w:rPr>
        <w:fldChar w:fldCharType="begin" w:fldLock="1"/>
      </w:r>
      <w:r w:rsidRPr="004B458C">
        <w:rPr>
          <w:rFonts w:cs="Arial"/>
          <w:color w:val="000000"/>
          <w:sz w:val="20"/>
        </w:rPr>
        <w:instrText>ADDIN CSL_CITATION { "citationItems" : [ { "id" : "ITEM-1", "itemData" : { "author" : [ { "dropping-particle" : "", "family" : "Hull", "given" : "RB Hull", "non-dropping-particle" : "", "parse-names" : false, "suffix" : "" }, { "dropping-particle" : "", "family" : "Stewart", "given" : "WP", "non-dropping-particle" : "", "parse-names" : false, "suffix" : "" } ], "container-title" : "Journal of Environmental Psychology", "id" : "ITEM-1", "issue" : "12", "issued" : { "date-parts" : [ [ "1992" ] ] }, "page" : "101-114", "title" : "Validity of photo-based scenic beauty judgments", "type" : "article-journal" }, "uris" : [ "http://www.mendeley.com/documents/?uuid=002d4886-e418-4f2e-935e-43d0f6048277" ] }, { "id" : "ITEM-2", "itemData" : { "DOI" : "10.1016/j.jenvman.2007.10.013", "ISSN" : "0301-4797", "PMID" : "18280633", "abstract" : "The concept of naturalness is one of the more studied concepts in landscape preference research and describes how close a landscape is to a perceived natural state. In this study we explored the relationship between landscape preference and three landscape indicators of naturalness (level of succession, number of woodland patches and shape index of edges). We used computer-generated visualisations of a hypothetical landscape containing pasture and broadleaved woodland. In the landscape simulations we altered the values of the naturalness indicators between the levels of low, medium and high, creating 27 different visualisations. The survey was distributed as an on-line survey in seven different languages and obtained 703 respondents. The study showed a strong relationship with preference for both the level of succession and number of woodland patches, and a weaker relationship with shape index of edges. The two demographic factors which were shown to contribute most to the formation of preference were gender and having a landscape related profession. The results suggest that the selected indicators are more important drivers of preference than demographic factors.", "author" : [ { "dropping-particle" : "", "family" : "Ode", "given" : "Asa", "non-dropping-particle" : "", "parse-names" : false, "suffix" : "" }, { "dropping-particle" : "", "family" : "Fry", "given" : "Gary", "non-dropping-particle" : "", "parse-names" : false, "suffix" : "" }, { "dropping-particle" : "", "family" : "Tveit", "given" : "Mari S", "non-dropping-particle" : "", "parse-names" : false, "suffix" : "" }, { "dropping-particle" : "", "family" : "Messager", "given" : "Pernette", "non-dropping-particle" : "", "parse-names" : false, "suffix" : "" }, { "dropping-particle" : "", "family" : "Miller", "given" : "David", "non-dropping-particle" : "", "parse-names" : false, "suffix" : "" } ], "container-title" : "Journal of environmental management", "id" : "ITEM-2", "issue" : "1", "issued" : { "date-parts" : [ [ "2009", "1" ] ] }, "note" : "IN DATABASE ", "page" : "375-83", "title" : "Indicators of perceived naturalness as drivers of landscape preference.", "type" : "article-journal", "volume" : "90" }, "uris" : [ "http://www.mendeley.com/documents/?uuid=14d24bef-e6d9-4b71-acea-b374d92e4816" ] }, { "id" : "ITEM-3", "itemData" : { "DOI" : "10.1016/j.landurbplan.2005.12.006", "ISSN" : "01692046", "author" : [ { "dropping-particle" : "", "family" : "Dramstad", "given" : "W.E.", "non-dropping-particle" : "", "parse-names" : false, "suffix" : "" }, { "dropping-particle" : "", "family" : "Tveit", "given" : "M. Sundli", "non-dropping-particle" : "", "parse-names" : false, "suffix" : "" }, { "dropping-particle" : "", "family" : "Fjellstad", "given" : "W.J.", "non-dropping-particle" : "", "parse-names" : false, "suffix" : "" }, { "dropping-particle" : "", "family" : "Fry", "given" : "G.L.a.", "non-dropping-particle" : "", "parse-names" : false, "suffix" : "" } ], "container-title" : "Landscape and Urban Planning", "id" : "ITEM-3", "issue" : "4", "issued" : { "date-parts" : [ [ "2006", "11" ] ] }, "note" : "Differences between locals and non-localsIN DATABASE: number of land patches included. only significant variable for both groups. ", "page" : "465-474", "title" : "Relationships between visual landscape preferences and map-based indicators of landscape structure", "type" : "article-journal", "volume" : "78" }, "uris" : [ "http://www.mendeley.com/documents/?uuid=bb04e204-0a9e-45ee-b443-f77cc32df299" ] } ], "mendeley" : { "formattedCitation" : "(Dramstad et al., 2006; Hull and Stewart, 1992; Ode et al., 2009)", "plainTextFormattedCitation" : "(Dramstad et al., 2006; Hull and Stewart, 1992; Ode et al., 2009)", "previouslyFormattedCitation" : "(Dramstad et al., 2006; Hull and Stewart, 1992; Ode et al., 2009)"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(Dramstad et al., 2006; Hull and Stewart, 1992; Ode et al., 2009)</w:t>
      </w:r>
      <w:r w:rsidRPr="004B458C">
        <w:rPr>
          <w:rFonts w:cs="Arial"/>
          <w:color w:val="000000"/>
          <w:sz w:val="20"/>
        </w:rPr>
        <w:fldChar w:fldCharType="end"/>
      </w:r>
      <w:r w:rsidRPr="004B458C">
        <w:rPr>
          <w:rFonts w:cs="Arial"/>
          <w:color w:val="000000"/>
          <w:sz w:val="20"/>
        </w:rPr>
        <w:t xml:space="preserve">. Based on such landscape photographs they measure preferences, mostly using a ‘representative’ or </w:t>
      </w:r>
      <w:r w:rsidRPr="004B458C">
        <w:rPr>
          <w:rFonts w:cs="Arial"/>
          <w:color w:val="000000"/>
          <w:sz w:val="20"/>
        </w:rPr>
        <w:lastRenderedPageBreak/>
        <w:t xml:space="preserve">‘characteristic’ landscape picture as a reference </w:t>
      </w:r>
      <w:r w:rsidRPr="004B458C">
        <w:rPr>
          <w:rFonts w:cs="Arial"/>
          <w:color w:val="000000"/>
          <w:sz w:val="20"/>
        </w:rPr>
        <w:fldChar w:fldCharType="begin" w:fldLock="1"/>
      </w:r>
      <w:r w:rsidRPr="004B458C">
        <w:rPr>
          <w:rFonts w:cs="Arial"/>
          <w:color w:val="000000"/>
          <w:sz w:val="20"/>
        </w:rPr>
        <w:instrText>ADDIN CSL_CITATION { "citationItems" : [ { "id" : "ITEM-1", "itemData" : { "DOI" : "10.1016/j.landurbplan.2007.02.006", "ISBN" : "0169-2046", "ISSN" : "01692046", "abstract" : "More and more, society's expectations of rural landscapes are rising and farmers are increasingly stimulated to incorporate 'green services' into their operational management. This assumes matching perceptions of the landscape between farmers, landscape experts and the general public. A method based on a picture enquiry was used to measure landscape perception in the 'Pajottenland', a central Belgian, rural area. Additional questions assessed the importance of meanings and functions of the landscape and revealed differences in perception among three target groups (farmers, landscape experts and country-dwellers). The results confirmed that the three groups look at landscapes in a different way, attaching importance to different landscape features and finding different functions appropriate for the considered landscapes. As a consequence, policies concerning landscape servicing by the farming community should incorporate appropriate incentives of communication and generate modes of understanding between different stakeholders. ?? 2007 Elsevier B.V. All rights reserved.", "author" : [ { "dropping-particle" : "", "family" : "Rogge", "given" : "Elke", "non-dropping-particle" : "", "parse-names" : false, "suffix" : "" }, { "dropping-particle" : "", "family" : "Nevens", "given" : "Frank", "non-dropping-particle" : "", "parse-names" : false, "suffix" : "" }, { "dropping-particle" : "", "family" : "Gulinck", "given" : "Hubert", "non-dropping-particle" : "", "parse-names" : false, "suffix" : "" } ], "container-title" : "Landscape and Urban Planning", "id" : "ITEM-1", "issue" : "4", "issued" : { "date-parts" : [ [ "2007", "10" ] ] }, "note" : "nice overview of landscape and demographic predictors.green landscapes = mosaic land coveragricultural landscapes = pastures/arable landscores from discussion. ", "page" : "159-174", "title" : "Perception of rural landscapes in Flanders: Looking beyond aesthetics", "type" : "article-journal", "volume" : "82" }, "uris" : [ "http://www.mendeley.com/documents/?uuid=2f5ed1dc-19a9-4276-8585-73f39c721696" ] }, { "id" : "ITEM-2", "itemData" : { "DOI" : "10.1016/j.ecolecon.2011.09.026", "ISSN" : "09218009", "author" : [ { "dropping-particle" : "", "family" : "Howley", "given" : "Peter", "non-dropping-particle" : "", "parse-names" : false, "suffix" : "" } ], "container-title" : "Ecological Economics", "id" : "ITEM-2", "issued" : { "date-parts" : [ [ "2011", "12" ] ] }, "page" : "161-169", "publisher" : "Elsevier B.V.", "title" : "Landscape aesthetics: Assessing the general publics' preferences towards rural landscapes", "type" : "article-journal", "volume" : "72" }, "uris" : [ "http://www.mendeley.com/documents/?uuid=6f8103da-8853-476b-9c6d-5a5423d74c5c" ] } ], "mendeley" : { "formattedCitation" : "(Howley, 2011; Rogge et al., 2007)", "plainTextFormattedCitation" : "(Howley, 2011; Rogge et al., 2007)", "previouslyFormattedCitation" : "(Howley, 2011; Rogge et al., 2007)"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(Howley, 2011; Rogge et al., 2007)</w:t>
      </w:r>
      <w:r w:rsidRPr="004B458C">
        <w:rPr>
          <w:rFonts w:cs="Arial"/>
          <w:color w:val="000000"/>
          <w:sz w:val="20"/>
        </w:rPr>
        <w:fldChar w:fldCharType="end"/>
      </w:r>
      <w:r w:rsidRPr="004B458C">
        <w:rPr>
          <w:rFonts w:cs="Arial"/>
          <w:color w:val="000000"/>
          <w:sz w:val="20"/>
        </w:rPr>
        <w:t xml:space="preserve">. Yet, these landscape preference studies hold valuable methodologies that relate subjective aesthetic values to specific features of landscapes. Since information on the spatial occurrence of these landscape features is available in spatial datasets, there is a potential to use landscape preference studies to support aesthetic value mapping. </w:t>
      </w:r>
    </w:p>
    <w:p w:rsidR="003F789A" w:rsidRPr="004B458C" w:rsidRDefault="003F789A" w:rsidP="008C28CE">
      <w:pPr>
        <w:spacing w:line="360" w:lineRule="auto"/>
        <w:rPr>
          <w:rFonts w:cs="Arial"/>
          <w:color w:val="000000"/>
          <w:sz w:val="20"/>
        </w:rPr>
      </w:pPr>
    </w:p>
    <w:p w:rsidR="003F789A" w:rsidRDefault="003F789A" w:rsidP="008C28CE">
      <w:pPr>
        <w:spacing w:line="360" w:lineRule="auto"/>
        <w:rPr>
          <w:rFonts w:cs="Arial"/>
          <w:color w:val="000000"/>
          <w:sz w:val="20"/>
        </w:rPr>
      </w:pPr>
      <w:r w:rsidRPr="004B458C">
        <w:rPr>
          <w:rFonts w:cs="Arial"/>
          <w:color w:val="000000"/>
          <w:sz w:val="20"/>
        </w:rPr>
        <w:t>To bridge the gap between proxy-based cultural services maps and landscape preference research a number of novel approaches for mapping cultural ecosystem services were developed recently. These approaches specifically consider the scalability of recreational values</w:t>
      </w:r>
      <w:r w:rsidRPr="004B458C">
        <w:rPr>
          <w:rFonts w:cs="Arial"/>
          <w:noProof/>
          <w:color w:val="000000"/>
          <w:sz w:val="20"/>
        </w:rPr>
        <w:t xml:space="preserve"> </w:t>
      </w:r>
      <w:r w:rsidRPr="004B458C">
        <w:rPr>
          <w:rFonts w:cs="Arial"/>
          <w:noProof/>
          <w:color w:val="000000"/>
          <w:sz w:val="20"/>
        </w:rPr>
        <w:fldChar w:fldCharType="begin" w:fldLock="1"/>
      </w:r>
      <w:r w:rsidRPr="004B458C">
        <w:rPr>
          <w:rFonts w:cs="Arial"/>
          <w:noProof/>
          <w:color w:val="000000"/>
          <w:sz w:val="20"/>
        </w:rPr>
        <w:instrText>ADDIN CSL_CITATION { "citationItems" : [ { "id" : "ITEM-1", "itemData" : { "DOI" : "10.1016/j.ecoser.2014.10.008", "ISSN" : "2212-0416", "author" : [ { "dropping-particle" : "", "family" : "Gr\u00eat-regamey", "given" : "Adrienne", "non-dropping-particle" : "", "parse-names" : false, "suffix" : "" }, { "dropping-particle" : "", "family" : "Weibel", "given" : "Bettina", "non-dropping-particle" : "", "parse-names" : false, "suffix" : "" }, { "dropping-particle" : "", "family" : "Kienast", "given" : "Felix", "non-dropping-particle" : "", "parse-names" : false, "suffix" : "" }, { "dropping-particle" : "", "family" : "Rabe", "given" : "Sven-erik", "non-dropping-particle" : "", "parse-names" : false, "suffix" : "" }, { "dropping-particle" : "", "family" : "Zulian", "given" : "Grazia", "non-dropping-particle" : "", "parse-names" : false, "suffix" : "" } ], "container-title" : "Ecosystem Services", "id" : "ITEM-1", "issued" : { "date-parts" : [ [ "2014" ] ] }, "note" : "check discussie voor opzet mapping paper", "page" : "1-11", "publisher" : "Elsevier", "title" : "A tiered approach for mapping ecosystem services", "type" : "article-journal" }, "uris" : [ "http://www.mendeley.com/documents/?uuid=d7c755e6-b825-4994-bf80-8dea06bd4506" ] } ], "mendeley" : { "formattedCitation" : "(Gr\u00eat-regamey et al., 2014)", "manualFormatting" : "(Gr\u00eat-regamey et al., 2014)", "plainTextFormattedCitation" : "(Gr\u00eat-regamey et al., 2014)", "previouslyFormattedCitation" : "(Gr\u00eat-regamey et al., 2014)" }, "properties" : { "noteIndex" : 0 }, "schema" : "https://github.com/citation-style-language/schema/raw/master/csl-citation.json" }</w:instrText>
      </w:r>
      <w:r w:rsidRPr="004B458C">
        <w:rPr>
          <w:rFonts w:cs="Arial"/>
          <w:noProof/>
          <w:color w:val="000000"/>
          <w:sz w:val="20"/>
        </w:rPr>
        <w:fldChar w:fldCharType="separate"/>
      </w:r>
      <w:r w:rsidRPr="004B458C">
        <w:rPr>
          <w:rFonts w:cs="Arial"/>
          <w:noProof/>
          <w:color w:val="000000"/>
          <w:sz w:val="20"/>
        </w:rPr>
        <w:t>(Grêt-regamey et al., 2014)</w:t>
      </w:r>
      <w:r w:rsidRPr="004B458C">
        <w:rPr>
          <w:rFonts w:cs="Arial"/>
          <w:noProof/>
          <w:color w:val="000000"/>
          <w:sz w:val="20"/>
        </w:rPr>
        <w:fldChar w:fldCharType="end"/>
      </w:r>
      <w:r w:rsidRPr="004B458C">
        <w:rPr>
          <w:rFonts w:cs="Arial"/>
          <w:noProof/>
          <w:color w:val="000000"/>
          <w:sz w:val="20"/>
        </w:rPr>
        <w:t xml:space="preserve"> and community values through participatory mapping </w:t>
      </w:r>
      <w:r w:rsidRPr="004B458C">
        <w:rPr>
          <w:rFonts w:cs="Arial"/>
          <w:noProof/>
          <w:color w:val="000000"/>
          <w:sz w:val="20"/>
        </w:rPr>
        <w:fldChar w:fldCharType="begin" w:fldLock="1"/>
      </w:r>
      <w:r w:rsidRPr="004B458C">
        <w:rPr>
          <w:rFonts w:cs="Arial"/>
          <w:noProof/>
          <w:color w:val="000000"/>
          <w:sz w:val="20"/>
        </w:rPr>
        <w:instrText>ADDIN CSL_CITATION { "citationItems" : [ { "id" : "ITEM-1", "itemData" : { "DOI" : "10.1016/j.landusepol.2012.12.013", "ISSN" : "0264-8377", "author" : [ { "dropping-particle" : "", "family" : "Plieninger", "given" : "Tobias", "non-dropping-particle" : "", "parse-names" : false, "suffix" : "" }, { "dropping-particle" : "", "family" : "Dijks", "given" : "Sebastian", "non-dropping-particle" : "", "parse-names" : false, "suffix" : "" }, { "dropping-particle" : "", "family" : "Oteros-rozas", "given" : "Elisa", "non-dropping-particle" : "", "parse-names" : false, "suffix" : "" }, { "dropping-particle" : "", "family" : "Bieling", "given" : "Claudia", "non-dropping-particle" : "", "parse-names" : false, "suffix" : "" } ], "container-title" : "Land Use Policy", "id" : "ITEM-1", "issued" : { "date-parts" : [ [ "2013" ] ] }, "note" : "still to read and inser", "page" : "118-129", "publisher" : "Elsevier Ltd", "title" : "Assessing , mapping , and quantifying cultural ecosystem services at community level", "type" : "article-journal", "volume" : "33" }, "uris" : [ "http://www.mendeley.com/documents/?uuid=f1d77c6f-5ed2-4b96-ba87-d7912d1b3bc5" ] }, { "id" : "ITEM-2", "itemData" : { "DOI" : "10.1016/j.ecoser.2014.10.007", "ISSN" : "2212-0416", "author" : [ { "dropping-particle" : "", "family" : "Brown", "given" : "Greg", "non-dropping-particle" : "", "parse-names" : false, "suffix" : "" }, { "dropping-particle" : "", "family" : "Fagerholm", "given" : "Nora", "non-dropping-particle" : "", "parse-names" : false, "suffix" : "" } ], "container-title" : "Ecosystem Services", "id" : "ITEM-2", "issued" : { "date-parts" : [ [ "2015" ] ] }, "page" : "1-15", "publisher" : "Elsevier", "title" : "Empirical PPGIS/PGIS mapping of ecosystem services: A review and evaluation", "type" : "article-journal" }, "uris" : [ "http://www.mendeley.com/documents/?uuid=f45b5b6a-25fa-49ae-b8c4-dbd6dfcaca5a" ] } ], "mendeley" : { "formattedCitation" : "(Brown and Fagerholm, 2015; Plieninger et al., 2013)", "plainTextFormattedCitation" : "(Brown and Fagerholm, 2015; Plieninger et al., 2013)", "previouslyFormattedCitation" : "(Brown and Fagerholm, 2015; Plieninger et al., 2013)" }, "properties" : { "noteIndex" : 0 }, "schema" : "https://github.com/citation-style-language/schema/raw/master/csl-citation.json" }</w:instrText>
      </w:r>
      <w:r w:rsidRPr="004B458C">
        <w:rPr>
          <w:rFonts w:cs="Arial"/>
          <w:noProof/>
          <w:color w:val="000000"/>
          <w:sz w:val="20"/>
        </w:rPr>
        <w:fldChar w:fldCharType="separate"/>
      </w:r>
      <w:r w:rsidRPr="004B458C">
        <w:rPr>
          <w:rFonts w:cs="Arial"/>
          <w:noProof/>
          <w:color w:val="000000"/>
          <w:sz w:val="20"/>
        </w:rPr>
        <w:t>(Brown and Fagerholm, 2015; Plieninger et al., 2013)</w:t>
      </w:r>
      <w:r w:rsidRPr="004B458C">
        <w:rPr>
          <w:rFonts w:cs="Arial"/>
          <w:noProof/>
          <w:color w:val="000000"/>
          <w:sz w:val="20"/>
        </w:rPr>
        <w:fldChar w:fldCharType="end"/>
      </w:r>
      <w:r w:rsidRPr="004B458C">
        <w:rPr>
          <w:rFonts w:cs="Arial"/>
          <w:color w:val="000000"/>
          <w:sz w:val="20"/>
        </w:rPr>
        <w:t>. However, a mapping method to assess landscape preferences in order to evaluate the contribution of specific features to the aesthetic value of landscapes has not been developed yet. Including the aesthetic values of landscapes within methods to map cultural ecosystems services can further advance the operational value of ecosystem service mapping to inform landscape policy and management.</w:t>
      </w:r>
    </w:p>
    <w:p w:rsidR="003F789A" w:rsidRPr="004B458C" w:rsidRDefault="003F789A" w:rsidP="008C28CE">
      <w:pPr>
        <w:spacing w:line="360" w:lineRule="auto"/>
        <w:rPr>
          <w:rFonts w:cs="Arial"/>
          <w:color w:val="000000"/>
          <w:sz w:val="20"/>
        </w:rPr>
      </w:pPr>
    </w:p>
    <w:p w:rsidR="003F789A" w:rsidRDefault="003F789A" w:rsidP="008C28CE">
      <w:pPr>
        <w:spacing w:line="360" w:lineRule="auto"/>
        <w:rPr>
          <w:rFonts w:cs="Arial"/>
          <w:color w:val="000000"/>
          <w:sz w:val="20"/>
        </w:rPr>
      </w:pPr>
      <w:r w:rsidRPr="004B458C">
        <w:rPr>
          <w:rFonts w:cs="Arial"/>
          <w:color w:val="000000"/>
          <w:sz w:val="20"/>
        </w:rPr>
        <w:t xml:space="preserve">The aim of this study is to develop a comprehensive method to evaluate landscape preferences to map aesthetic values across a landscape or region. Using manipulated landscape photographs, this method aims to enable the evaluation of aesthetic values based on preferences for specific features in the visual landscape. We apply this method in an agricultural landscape in the east of the Netherlands where features range from livestock presence to features that describe land-cover structure and composition. To systematically capture landscape users’ trade-offs between different features of the agricultural landscape, we apply a choice experiment. Subsequently, we scale-up preferences for (combinations of) landscape features that we find on a visual landscape level to a regional landscape map using generic feature mapping </w:t>
      </w:r>
      <w:r w:rsidRPr="004B458C">
        <w:rPr>
          <w:rFonts w:cs="Arial"/>
          <w:color w:val="000000"/>
          <w:sz w:val="20"/>
        </w:rPr>
        <w:fldChar w:fldCharType="begin" w:fldLock="1"/>
      </w:r>
      <w:r w:rsidRPr="004B458C">
        <w:rPr>
          <w:rFonts w:cs="Arial"/>
          <w:color w:val="000000"/>
          <w:sz w:val="20"/>
        </w:rPr>
        <w:instrText>ADDIN CSL_CITATION { "citationItems" : [ { "id" : "ITEM-1", "itemData" : { "DOI" : "10.1016/j.landurbplan.2007.09.007", "ISBN" : "0169-2046", "ISSN" : "01692046", "abstract" : "This paper advances the concept of a coupled social-ecological system (SES), where human and biophysical systems are closely linked, to examine and explain variations in landscape values perceived by people in their region. In this paper, we describe an approach that allows the mapping of SES by linking survey research with geographic information systems (GIS) to provide spatial representations of social and ecological system convergence. Using survey data that measured landscape values from multiple communities on the Kenai Peninsula, Alaska, we identify geographical areas where both human-perceived and physically measured ecological values overlap and are referred to as social-ecological \"hotspots\". Community landscape values, collected as point data, were used to generate point density maps to produce hotspot surfaces for each value. These value surfaces were spatially cross-correlated with other communities' value surfaces and with an ecological map layer (net primary productivity) to demonstrate social-ecological mapping. Moderate spatial cross-correlation coefficients were found between most landscape values by community with 18 hotspot surfaces pairings exhibiting strong positive spatial cross correlations. Moderately significant, positive linear relationships were found between perceived biological values and net primary productivity for three of six communities. The exploratory spatial analysis presented in this paper is a first step in identifying and describing the presence of SES in a regional context. We conclude the paper by discussing the potential managerial and ecological implications of coupled social-ecological systems including system resilience and vulnerability, and the limitations of the approach that need to be considered. \u00a9 2007 Elsevier B.V. All rights reserved.", "author" : [ { "dropping-particle" : "", "family" : "Alessa", "given" : "Lilian (Naia)", "non-dropping-particle" : "", "parse-names" : false, "suffix" : "" }, { "dropping-particle" : "", "family" : "Kliskey", "given" : "Andrew (Anaru)", "non-dropping-particle" : "", "parse-names" : false, "suffix" : "" }, { "dropping-particle" : "", "family" : "Brown", "given" : "Gregory", "non-dropping-particle" : "", "parse-names" : false, "suffix" : "" } ], "container-title" : "Landscape and Urban Planning", "id" : "ITEM-1", "issue" : "1", "issued" : { "date-parts" : [ [ "2008" ] ] }, "page" : "27-39", "title" : "Social-ecological hotspots mapping: A spatial approach for identifying coupled social-ecological space", "type" : "article-journal", "volume" : "85" }, "uris" : [ "http://www.mendeley.com/documents/?uuid=8050dea9-c440-457e-8586-2f26213863ae" ] } ], "mendeley" : { "formattedCitation" : "(Alessa et al., 2008)", "plainTextFormattedCitation" : "(Alessa et al., 2008)", "previouslyFormattedCitation" : "(Alessa et al., 2008)" }, "properties" : { "noteIndex" : 0 }, "schema" : "https://github.com/citation-style-language/schema/raw/master/csl-citation.json" }</w:instrText>
      </w:r>
      <w:r w:rsidRPr="004B458C">
        <w:rPr>
          <w:rFonts w:cs="Arial"/>
          <w:color w:val="000000"/>
          <w:sz w:val="20"/>
        </w:rPr>
        <w:fldChar w:fldCharType="separate"/>
      </w:r>
      <w:r w:rsidRPr="004B458C">
        <w:rPr>
          <w:rFonts w:cs="Arial"/>
          <w:noProof/>
          <w:color w:val="000000"/>
          <w:sz w:val="20"/>
        </w:rPr>
        <w:t>(Alessa et al., 2008)</w:t>
      </w:r>
      <w:r w:rsidRPr="004B458C">
        <w:rPr>
          <w:rFonts w:cs="Arial"/>
          <w:color w:val="000000"/>
          <w:sz w:val="20"/>
        </w:rPr>
        <w:fldChar w:fldCharType="end"/>
      </w:r>
      <w:r w:rsidRPr="004B458C">
        <w:rPr>
          <w:rFonts w:cs="Arial"/>
          <w:color w:val="000000"/>
          <w:sz w:val="20"/>
        </w:rPr>
        <w:t>. We reflect upon the validity of the proposed method through a comparison with existing generic feature mapping methods for cultural ecosystem services that address aesthetic values on a landscape scale (</w:t>
      </w:r>
      <w:proofErr w:type="spellStart"/>
      <w:r w:rsidRPr="004B458C">
        <w:rPr>
          <w:rFonts w:cs="Arial"/>
          <w:color w:val="000000"/>
          <w:sz w:val="20"/>
        </w:rPr>
        <w:t>Burkhard</w:t>
      </w:r>
      <w:proofErr w:type="spellEnd"/>
      <w:r w:rsidRPr="004B458C">
        <w:rPr>
          <w:rFonts w:cs="Arial"/>
          <w:color w:val="000000"/>
          <w:sz w:val="20"/>
        </w:rPr>
        <w:t xml:space="preserve"> et al 2009, van </w:t>
      </w:r>
      <w:proofErr w:type="spellStart"/>
      <w:r w:rsidRPr="004B458C">
        <w:rPr>
          <w:rFonts w:cs="Arial"/>
          <w:color w:val="000000"/>
          <w:sz w:val="20"/>
        </w:rPr>
        <w:t>Berkel</w:t>
      </w:r>
      <w:proofErr w:type="spellEnd"/>
      <w:r w:rsidRPr="004B458C">
        <w:rPr>
          <w:rFonts w:cs="Arial"/>
          <w:color w:val="000000"/>
          <w:sz w:val="20"/>
        </w:rPr>
        <w:t xml:space="preserve"> &amp; </w:t>
      </w:r>
      <w:proofErr w:type="spellStart"/>
      <w:r w:rsidRPr="004B458C">
        <w:rPr>
          <w:rFonts w:cs="Arial"/>
          <w:color w:val="000000"/>
          <w:sz w:val="20"/>
        </w:rPr>
        <w:t>Verburg</w:t>
      </w:r>
      <w:proofErr w:type="spellEnd"/>
      <w:r w:rsidRPr="004B458C">
        <w:rPr>
          <w:rFonts w:cs="Arial"/>
          <w:color w:val="000000"/>
          <w:sz w:val="20"/>
        </w:rPr>
        <w:t xml:space="preserve">, 2014) and by a comparison to a revealed landscape preference map. </w:t>
      </w:r>
    </w:p>
    <w:p w:rsidR="003F789A" w:rsidRPr="004B458C" w:rsidRDefault="003F789A" w:rsidP="008C28CE">
      <w:pPr>
        <w:spacing w:line="360" w:lineRule="auto"/>
        <w:rPr>
          <w:rFonts w:cs="Arial"/>
          <w:color w:val="000000"/>
          <w:sz w:val="20"/>
        </w:rPr>
      </w:pPr>
    </w:p>
    <w:p w:rsidR="003F789A" w:rsidRDefault="003F789A" w:rsidP="006D566F">
      <w:pPr>
        <w:pStyle w:val="Heading3"/>
        <w:numPr>
          <w:ilvl w:val="2"/>
          <w:numId w:val="38"/>
        </w:numPr>
      </w:pPr>
      <w:r>
        <w:t xml:space="preserve"> </w:t>
      </w:r>
      <w:bookmarkStart w:id="119" w:name="_Toc436915624"/>
      <w:bookmarkStart w:id="120" w:name="_Toc436916065"/>
      <w:r w:rsidRPr="004B458C">
        <w:t>Methods</w:t>
      </w:r>
      <w:bookmarkEnd w:id="119"/>
      <w:bookmarkEnd w:id="120"/>
    </w:p>
    <w:p w:rsidR="003F789A" w:rsidRPr="008C28CE" w:rsidRDefault="003F789A" w:rsidP="008C28CE"/>
    <w:p w:rsidR="003F789A" w:rsidRPr="008C28CE" w:rsidRDefault="003F789A" w:rsidP="008C28CE">
      <w:pPr>
        <w:rPr>
          <w:b/>
          <w:sz w:val="20"/>
        </w:rPr>
      </w:pPr>
      <w:r w:rsidRPr="008C28CE">
        <w:rPr>
          <w:b/>
          <w:sz w:val="20"/>
        </w:rPr>
        <w:t>Overview of the methodology</w:t>
      </w:r>
    </w:p>
    <w:p w:rsidR="003F789A" w:rsidRDefault="003F789A" w:rsidP="008C28CE">
      <w:pPr>
        <w:spacing w:line="360" w:lineRule="auto"/>
        <w:rPr>
          <w:sz w:val="20"/>
        </w:rPr>
      </w:pPr>
      <w:r w:rsidRPr="004B458C">
        <w:rPr>
          <w:sz w:val="20"/>
        </w:rPr>
        <w:t xml:space="preserve">The first step of the analysis comprises the selection of relevant landscape features that are included as landscape attributes in a choice experiment. This selection is based on a synthesis of existing literature and engagement of local stakeholders to identify a shortlist of those landscape attributes that contribute to the provision of aesthetic values in the case study. Second, spatial data are collected from existing datasets and observatories to assess the spatial variation of the selected landscape attributes in the case study area. Third, the observed spatial variation of landscape </w:t>
      </w:r>
      <w:r w:rsidRPr="004B458C">
        <w:rPr>
          <w:sz w:val="20"/>
        </w:rPr>
        <w:lastRenderedPageBreak/>
        <w:t xml:space="preserve">attribute levels in the area is used to determine the attribute levels of the choice experiment. Fourth, the predicted probabilities from the choice model are used to estimate the aesthetic value in a spatially explicit manner for the landscapes in the case study region as a whole. Fifth, we compare the thus produced map of aesthetic values to other mapping approaches that have used different methodologies </w:t>
      </w:r>
      <w:r w:rsidRPr="004B458C">
        <w:rPr>
          <w:noProof/>
          <w:sz w:val="20"/>
        </w:rPr>
        <w:fldChar w:fldCharType="begin" w:fldLock="1"/>
      </w:r>
      <w:r w:rsidRPr="004B458C">
        <w:rPr>
          <w:noProof/>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"id" : "ITEM-2",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"ITEM-2",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"(Burkhard et al., 2009; van Berkel and Verburg, 2014)", "plainTextFormattedCitation" : "(Burkhard et al., 2009; van Berkel and Verburg, 2014)", "previouslyFormattedCitation" : "(Burkhard et al., 2009; van Berkel and Verburg, 2014)" }, "properties" : { "noteIndex" : 0 }, "schema" : "https://github.com/citation-style-language/schema/raw/master/csl-citation.json" }</w:instrText>
      </w:r>
      <w:r w:rsidRPr="004B458C">
        <w:rPr>
          <w:noProof/>
          <w:sz w:val="20"/>
        </w:rPr>
        <w:fldChar w:fldCharType="separate"/>
      </w:r>
      <w:r w:rsidRPr="004B458C">
        <w:rPr>
          <w:noProof/>
          <w:sz w:val="20"/>
        </w:rPr>
        <w:t>(Burkhard et al., 2009; van Berkel and Verburg, 2014)</w:t>
      </w:r>
      <w:r w:rsidRPr="004B458C">
        <w:rPr>
          <w:noProof/>
          <w:sz w:val="20"/>
        </w:rPr>
        <w:fldChar w:fldCharType="end"/>
      </w:r>
      <w:r w:rsidRPr="004B458C">
        <w:rPr>
          <w:noProof/>
          <w:sz w:val="20"/>
        </w:rPr>
        <w:t>. F</w:t>
      </w:r>
      <w:r w:rsidRPr="004B458C">
        <w:rPr>
          <w:sz w:val="20"/>
        </w:rPr>
        <w:t xml:space="preserve">or verification purposes we compare our results to the density of uploaded </w:t>
      </w:r>
      <w:proofErr w:type="spellStart"/>
      <w:r w:rsidRPr="004B458C">
        <w:rPr>
          <w:sz w:val="20"/>
        </w:rPr>
        <w:t>Panoramio</w:t>
      </w:r>
      <w:proofErr w:type="spellEnd"/>
      <w:r w:rsidRPr="004B458C">
        <w:rPr>
          <w:sz w:val="20"/>
        </w:rPr>
        <w:t xml:space="preserve"> photo’s in the area, </w:t>
      </w:r>
      <w:r w:rsidRPr="004B458C">
        <w:rPr>
          <w:sz w:val="20"/>
        </w:rPr>
        <w:fldChar w:fldCharType="begin" w:fldLock="1"/>
      </w:r>
      <w:r w:rsidRPr="004B458C">
        <w:rPr>
          <w:sz w:val="20"/>
        </w:rPr>
        <w:instrText>ADDIN CSL_CITATION { "citationItems" : [ { "id" : "ITEM-1", "itemData" : { "DOI" : "10.1371/journal.pone.0068437", "ISSN" : "1932-6203", "PMID" : "23840853", "abstract" : "Mapping the spatial distribution of ecosystem goods and services represents a burgeoning field of research, although how different services covary with one another remains poorly understood. This is particularly true for the covariation of supporting, provisioning and regulating services with cultural services (the non-material benefits people gain from nature). This is largely because of challenges associated with the spatially specific quantification of cultural ecosystem services. We propose an innovative approach for evaluating a cultural service, the perceived aesthetic value of ecosystems, by quantifying geo-tagged digital photographs uploaded to social media resources. Our analysis proceeds from the premise that images will be captured by greater numbers of people in areas that are more highly valued for their aesthetic attributes. This approach was applied in Cornwall, UK, to carry out a spatial analysis of the covariation between ecosystem services: soil carbon stocks, agricultural production, and aesthetic value. Our findings suggest that online geo-tagged images provide an effective metric for mapping a key component of cultural ecosystem services. They also highlight the non-stationarity in the spatial relationships between patterns of ecosystem services.", "author" : [ { "dropping-particle" : "", "family" : "Casalegno", "given" : "Stefano", "non-dropping-particle" : "", "parse-names" : false, "suffix" : "" }, { "dropping-particle" : "", "family" : "Inger", "given" : "Richard", "non-dropping-particle" : "", "parse-names" : false, "suffix" : "" }, { "dropping-particle" : "", "family" : "Desilvey", "given" : "Caitlin", "non-dropping-particle" : "", "parse-names" : false, "suffix" : "" }, { "dropping-particle" : "", "family" : "Gaston", "given" : "Kevin J", "non-dropping-particle" : "", "parse-names" : false, "suffix" : "" } ], "container-title" : "PloS one", "id" : "ITEM-1", "issue" : "6", "issued" : { "date-parts" : [ [ "2013", "1" ] ] }, "page" : "e68437", "title" : "Spatial covariance between aesthetic value &amp; other ecosystem services.", "type" : "article-journal", "volume" : "8" }, "uris" : [ "http://www.mendeley.com/documents/?uuid=a5eb8c1e-9f7f-4816-bbc8-0c1fad0ff775" ] } ], "mendeley" : { "formattedCitation" : "(Casalegno et al., 2013)", "plainTextFormattedCitation" : "(Casalegno et al., 2013)", "previouslyFormattedCitation" : "(Casalegno et al., 2013)" }, "properties" : { "noteIndex" : 0 }, "schema" : "https://github.com/citation-style-language/schema/raw/master/csl-citation.json" }</w:instrText>
      </w:r>
      <w:r w:rsidRPr="004B458C">
        <w:rPr>
          <w:sz w:val="20"/>
        </w:rPr>
        <w:fldChar w:fldCharType="separate"/>
      </w:r>
      <w:r w:rsidRPr="004B458C">
        <w:rPr>
          <w:noProof/>
          <w:sz w:val="20"/>
        </w:rPr>
        <w:t>(Casalegno et al., 2013)</w:t>
      </w:r>
      <w:r w:rsidRPr="004B458C">
        <w:rPr>
          <w:sz w:val="20"/>
        </w:rPr>
        <w:fldChar w:fldCharType="end"/>
      </w:r>
      <w:r w:rsidRPr="004B458C">
        <w:rPr>
          <w:sz w:val="20"/>
        </w:rPr>
        <w:t xml:space="preserve">, which we use as an indicator of revealed aesthetic landscape preferences. </w:t>
      </w:r>
    </w:p>
    <w:p w:rsidR="003F789A" w:rsidRPr="004B458C" w:rsidRDefault="003F789A" w:rsidP="008C28CE">
      <w:pPr>
        <w:spacing w:line="360" w:lineRule="auto"/>
        <w:rPr>
          <w:sz w:val="20"/>
        </w:rPr>
      </w:pPr>
    </w:p>
    <w:p w:rsidR="003F789A" w:rsidRDefault="003F789A" w:rsidP="008C28CE">
      <w:pPr>
        <w:spacing w:line="360" w:lineRule="auto"/>
        <w:rPr>
          <w:rFonts w:cs="Calibri"/>
          <w:sz w:val="20"/>
        </w:rPr>
      </w:pPr>
      <w:r w:rsidRPr="004B458C">
        <w:rPr>
          <w:sz w:val="20"/>
        </w:rPr>
        <w:t xml:space="preserve">Although the method is designed to be generically applicable, we test the method in the context of </w:t>
      </w:r>
      <w:proofErr w:type="spellStart"/>
      <w:r w:rsidRPr="004B458C">
        <w:rPr>
          <w:sz w:val="20"/>
        </w:rPr>
        <w:t>Winterswijk</w:t>
      </w:r>
      <w:proofErr w:type="spellEnd"/>
      <w:r w:rsidRPr="004B458C">
        <w:rPr>
          <w:sz w:val="20"/>
        </w:rPr>
        <w:t xml:space="preserve"> National Landscape, located in the east of the Netherlands. The area is recognized as a distinctive rural landscape in the Netherlands and is protected under Dutch law as a National Landscape. Agriculture is the dominant land use in the area. Throughout the national landscape, the agricultural system is oriented towards the production of dairy products with mostly grazing livestock (grasslands) and corn fodder crops grown. Past socio-economic processes and poor soil conditions have largely shaped agricultural activities in </w:t>
      </w:r>
      <w:proofErr w:type="spellStart"/>
      <w:r w:rsidRPr="004B458C">
        <w:rPr>
          <w:sz w:val="20"/>
        </w:rPr>
        <w:t>Winterswijk</w:t>
      </w:r>
      <w:proofErr w:type="spellEnd"/>
      <w:r w:rsidRPr="004B458C">
        <w:rPr>
          <w:sz w:val="20"/>
        </w:rPr>
        <w:t xml:space="preserve">, with farmers constrained to small and dispersed agricultural plots </w:t>
      </w:r>
      <w:r w:rsidRPr="004B458C">
        <w:rPr>
          <w:sz w:val="20"/>
        </w:rPr>
        <w:fldChar w:fldCharType="begin" w:fldLock="1"/>
      </w:r>
      <w:r w:rsidRPr="004B458C">
        <w:rPr>
          <w:sz w:val="20"/>
        </w:rPr>
        <w:instrText>ADDIN CSL_CITATION { "citationItems" : [ { "id" : "ITEM-1", "itemData" : { "author" : [ { "dropping-particle" : "", "family" : "Wildenbeest", "given" : "G", "non-dropping-particle" : "", "parse-names" : false, "suffix" : "" } ], "container-title" : "Dutch dilemmas: Anthropologist look at the Netherlands", "editor" : [ { "dropping-particle" : "", "family" : "Boisserain", "given" : "J", "non-dropping-particle" : "", "parse-names" : false, "suffix" : "" }, { "dropping-particle" : "", "family" : "Verrips", "given" : "J", "non-dropping-particle" : "", "parse-names" : false, "suffix" : "" } ], "id" : "ITEM-1", "issued" : { "date-parts" : [ [ "1989" ] ] }, "publisher" : "van Gorcum", "publisher-place" : "Assen", "title" : "Recent Farmers' protests in a Dutch Municipality: the Legacy of the past", "type" : "chapter" }, "uris" : [ "http://www.mendeley.com/documents/?uuid=24c8a666-abe0-4165-adcb-0f4ee2474589" ] } ], "mendeley" : { "formattedCitation" : "(Wildenbeest, 1989)", "plainTextFormattedCitation" : "(Wildenbeest, 1989)", "previouslyFormattedCitation" : "(Wildenbeest, 1989)" }, "properties" : { "noteIndex" : 0 }, "schema" : "https://github.com/citation-style-language/schema/raw/master/csl-citation.json" }</w:instrText>
      </w:r>
      <w:r w:rsidRPr="004B458C">
        <w:rPr>
          <w:sz w:val="20"/>
        </w:rPr>
        <w:fldChar w:fldCharType="separate"/>
      </w:r>
      <w:r w:rsidRPr="004B458C">
        <w:rPr>
          <w:noProof/>
          <w:sz w:val="20"/>
        </w:rPr>
        <w:t>(Wildenbeest, 1989)</w:t>
      </w:r>
      <w:r w:rsidRPr="004B458C">
        <w:rPr>
          <w:sz w:val="20"/>
        </w:rPr>
        <w:fldChar w:fldCharType="end"/>
      </w:r>
      <w:r w:rsidRPr="004B458C">
        <w:rPr>
          <w:sz w:val="20"/>
        </w:rPr>
        <w:t>. The resulting land-use pattern is a relatively well preserved traditional characteristically scattered agricultural landscape, with small plots enclosed by hedgerows (</w:t>
      </w:r>
      <w:r w:rsidRPr="004B458C">
        <w:rPr>
          <w:i/>
          <w:iCs/>
          <w:sz w:val="20"/>
        </w:rPr>
        <w:t xml:space="preserve">Coulisse </w:t>
      </w:r>
      <w:r w:rsidRPr="004B458C">
        <w:rPr>
          <w:iCs/>
          <w:sz w:val="20"/>
        </w:rPr>
        <w:t>landscape</w:t>
      </w:r>
      <w:r w:rsidRPr="004B458C">
        <w:rPr>
          <w:sz w:val="20"/>
        </w:rPr>
        <w:t xml:space="preserve">). </w:t>
      </w:r>
      <w:r w:rsidRPr="004B458C">
        <w:rPr>
          <w:rFonts w:cs="Calibri"/>
          <w:sz w:val="20"/>
        </w:rPr>
        <w:t xml:space="preserve">As a consequence, aesthetic values and other cultural ecosystem services are valued highly in the region. Recreation, cultural heritage and aesthetic quality are considered important and </w:t>
      </w:r>
      <w:proofErr w:type="spellStart"/>
      <w:r w:rsidRPr="004B458C">
        <w:rPr>
          <w:rFonts w:cs="Calibri"/>
          <w:sz w:val="20"/>
        </w:rPr>
        <w:t>Winterswijk</w:t>
      </w:r>
      <w:proofErr w:type="spellEnd"/>
      <w:r w:rsidRPr="004B458C">
        <w:rPr>
          <w:rFonts w:cs="Calibri"/>
          <w:sz w:val="20"/>
        </w:rPr>
        <w:t xml:space="preserve"> has a well-developed landscape related tourism industry with several bed and breakfasts and campsites </w:t>
      </w:r>
      <w:r w:rsidRPr="004B458C">
        <w:rPr>
          <w:rFonts w:cs="Calibri"/>
          <w:sz w:val="20"/>
        </w:rPr>
        <w:fldChar w:fldCharType="begin" w:fldLock="1"/>
      </w:r>
      <w:r w:rsidRPr="004B458C">
        <w:rPr>
          <w:rFonts w:cs="Calibri"/>
          <w:sz w:val="20"/>
        </w:rPr>
        <w:instrText>ADDIN CSL_CITATION { "citationItems" : [ { "id" : "ITEM-1", "itemData" : { "ISBN" : "9789174732061", "author" : [ { "dropping-particle" : "", "family" : "B\u00e4cklund", "given" : "AK", "non-dropping-particle" : "", "parse-names" : false, "suffix" : "" }, { "dropping-particle" : "", "family" : "Schenk", "given" : "A", "non-dropping-particle" : "", "parse-names" : false, "suffix" : "" }, { "dropping-particle" : "", "family" : "Atger", "given" : "F", "non-dropping-particle" : "", "parse-names" : false, "suffix" : "" } ], "container-title" : "Research Reports in Human Geography", "id" : "ITEM-1", "issued" : { "date-parts" : [ [ "2011" ] ] }, "title" : "Understanding European Regional Diversity-Lessons learned from Case Studies", "type" : "report" }, "uris" : [ "http://www.mendeley.com/documents/?uuid=d253bdc9-9c5c-4f64-b3ce-c5dd0bad8596" ] }, { "id" : "ITEM-2", "itemData" : { "author" : [ { "dropping-particle" : "", "family" : "Korevaar", "given" : "H", "non-dropping-particle" : "", "parse-names" : false, "suffix" : "" }, { "dropping-particle" : "", "family" : "Meulenkamp", "given" : "W J H", "non-dropping-particle" : "", "parse-names" : false, "suffix" : "" }, { "dropping-particle" : "", "family" : "Agricola", "given" : "H J", "non-dropping-particle" : "", "parse-names" : false, "suffix" : "" }, { "dropping-particle" : "", "family" : "Geerts", "given" : "R H E M", "non-dropping-particle" : "", "parse-names" : false, "suffix" : "" }, { "dropping-particle" : "", "family" : "Schaap", "given" : "B F", "non-dropping-particle" : "", "parse-names" : false, "suffix" : "" } ], "id" : "ITEM-2", "issued" : { "date-parts" : [ [ "2008" ] ] }, "number-of-pages" : "92", "publisher-place" : "Wageningen", "title" : "Kwaliteit van het landelijk gebied in drie Nationale Landschappen.", "type" : "report" }, "uris" :</w:instrText>
      </w:r>
      <w:r w:rsidRPr="004B458C">
        <w:rPr>
          <w:rFonts w:cs="Calibri"/>
          <w:sz w:val="20"/>
          <w:lang w:val="nl-NL"/>
        </w:rPr>
        <w:instrText xml:space="preserve"> [ "http://www.mendeley.com/documents/?uuid=cce13108-fec8-42eb-af75-415737577b6d" ] }, { "id" : "ITEM-3",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"ITEM-3",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"(B\u00e4cklund et al., 2011; H Korevaar et al., 2008; van Berkel and Verburg, 2014)", "manualFormatting" : "(B\u00e4cklund et al., 2011; Korevaar et al., 2008; van Berkel and Verburg, 2014)", "plainTextFormattedCitation" : "(B\u00e4cklund et al., 2011; H Korevaar et al., 2008; van Berkel and Verburg, 2014)", "previouslyFormattedCitation" : "(B\u00e4cklund et al., 2011; H Korevaar et al., 2008; van Berkel and Verburg, 2014)" }, "properties" : { "noteIndex" : 0 }, "schema" : "https://github.com/citation-style-language/schema/raw/master/csl-citation.json" }</w:instrText>
      </w:r>
      <w:r w:rsidRPr="004B458C">
        <w:rPr>
          <w:rFonts w:cs="Calibri"/>
          <w:sz w:val="20"/>
        </w:rPr>
        <w:fldChar w:fldCharType="separate"/>
      </w:r>
      <w:r w:rsidRPr="004B458C">
        <w:rPr>
          <w:rFonts w:cs="Calibri"/>
          <w:noProof/>
          <w:sz w:val="20"/>
          <w:lang w:val="nl-NL"/>
        </w:rPr>
        <w:t>(Bäcklund et al., 2011; Korevaar et al., 2008; van Berkel and Verburg, 2014)</w:t>
      </w:r>
      <w:r w:rsidRPr="004B458C">
        <w:rPr>
          <w:rFonts w:cs="Calibri"/>
          <w:sz w:val="20"/>
        </w:rPr>
        <w:fldChar w:fldCharType="end"/>
      </w:r>
      <w:r w:rsidRPr="004B458C">
        <w:rPr>
          <w:rFonts w:cs="Calibri"/>
          <w:sz w:val="20"/>
          <w:lang w:val="nl-NL"/>
        </w:rPr>
        <w:t xml:space="preserve">. </w:t>
      </w:r>
      <w:r w:rsidRPr="004B458C">
        <w:rPr>
          <w:rFonts w:cs="Calibri"/>
          <w:sz w:val="20"/>
        </w:rPr>
        <w:t>In addition, the number of hobby-farmers is steadily increasing.</w:t>
      </w:r>
    </w:p>
    <w:p w:rsidR="003F789A" w:rsidRPr="004B458C" w:rsidRDefault="003F789A" w:rsidP="008C28CE">
      <w:pPr>
        <w:spacing w:line="360" w:lineRule="auto"/>
        <w:rPr>
          <w:rFonts w:cs="Calibri"/>
          <w:sz w:val="20"/>
        </w:rPr>
      </w:pPr>
    </w:p>
    <w:p w:rsidR="003F789A" w:rsidRPr="008C28CE" w:rsidRDefault="003F789A" w:rsidP="008C28CE">
      <w:pPr>
        <w:rPr>
          <w:b/>
          <w:sz w:val="20"/>
        </w:rPr>
      </w:pPr>
      <w:r w:rsidRPr="008C28CE">
        <w:rPr>
          <w:b/>
          <w:sz w:val="20"/>
        </w:rPr>
        <w:t>Selection of landscape attributes</w:t>
      </w:r>
    </w:p>
    <w:p w:rsidR="003F789A" w:rsidRDefault="003F789A" w:rsidP="008C28CE">
      <w:pPr>
        <w:spacing w:line="360" w:lineRule="auto"/>
        <w:rPr>
          <w:sz w:val="20"/>
        </w:rPr>
      </w:pPr>
      <w:r w:rsidRPr="004B458C">
        <w:rPr>
          <w:sz w:val="20"/>
        </w:rPr>
        <w:t xml:space="preserve">In a choice experiment, an ecosystem service or good is described based on its key attributes. By forming different combinations of attributes, hypothetical alternative ‘goods’ (i.e. landscape scenarios) are created out of which the respondents in the experiment choose an alternative they prefer most </w:t>
      </w:r>
      <w:r w:rsidRPr="004B458C">
        <w:rPr>
          <w:sz w:val="20"/>
        </w:rPr>
        <w:fldChar w:fldCharType="begin" w:fldLock="1"/>
      </w:r>
      <w:r w:rsidRPr="004B458C">
        <w:rPr>
          <w:sz w:val="20"/>
        </w:rPr>
        <w:instrText>ADDIN CSL_CITATION { "citationItems" : [ { "id" : "ITEM-1", "itemData" : { "ISBN" : "0 511 01173 3", "author" : [ { "dropping-particle" : "", "family" : "Louviere", "given" : "Jordan J", "non-dropping-particle" : "", "parse-names" : false, "suffix" : "" }, { "dropping-particle" : "", "family" : "Hensher", "given" : "David A", "non-dropping-particle" : "", "parse-names" : false, "suffix" : "" }, { "dropping-particle" : "", "family" : "Swait", "given" : "Joffre D", "non-dropping-particle" : "", "parse-names" : false, "suffix" : "" } ], "id" : "ITEM-1", "issued" : { "date-parts" : [ [ "2003" ] ] }, "number-of-pages" : "402", "publisher" : "Cambridge University Press", "publisher-place" : "Cambridge", "title" : "Stated Choice Methods: Analysis and Applications", "type" : "book" }, "uris" : [ "http://www.mendeley.com/documents/?uuid=852124de-1795-4c21-9f2e-2ad7c1728fb9" ] } ], "mendeley" : { "formattedCitation" : "(Louviere et al., 2003)", "plainTextFormattedCitation" : "(Louviere et al., 2003)", "previouslyFormattedCitation" : "(Louviere et al., 2003)" }, "properties" : { "noteIndex" : 0 }, "schema" : "https://github.com/citation-style-language/schema/raw/master/csl-citation.json" }</w:instrText>
      </w:r>
      <w:r w:rsidRPr="004B458C">
        <w:rPr>
          <w:sz w:val="20"/>
        </w:rPr>
        <w:fldChar w:fldCharType="separate"/>
      </w:r>
      <w:r w:rsidRPr="004B458C">
        <w:rPr>
          <w:noProof/>
          <w:sz w:val="20"/>
        </w:rPr>
        <w:t>(Louviere et al., 2003)</w:t>
      </w:r>
      <w:r w:rsidRPr="004B458C">
        <w:rPr>
          <w:sz w:val="20"/>
        </w:rPr>
        <w:fldChar w:fldCharType="end"/>
      </w:r>
      <w:r w:rsidRPr="004B458C">
        <w:rPr>
          <w:sz w:val="20"/>
        </w:rPr>
        <w:t xml:space="preserve">. Hence, the selection of landscape attributes is essential for the degree of external validity of the study. </w:t>
      </w:r>
    </w:p>
    <w:p w:rsidR="003F789A" w:rsidRPr="004B458C" w:rsidRDefault="003F789A" w:rsidP="008C28CE">
      <w:pPr>
        <w:spacing w:line="360" w:lineRule="auto"/>
        <w:rPr>
          <w:sz w:val="20"/>
        </w:rPr>
      </w:pPr>
    </w:p>
    <w:p w:rsidR="003F789A" w:rsidRDefault="003F789A" w:rsidP="008C28CE">
      <w:pPr>
        <w:spacing w:line="360" w:lineRule="auto"/>
        <w:rPr>
          <w:sz w:val="20"/>
        </w:rPr>
      </w:pPr>
      <w:r w:rsidRPr="004B458C">
        <w:rPr>
          <w:sz w:val="20"/>
        </w:rPr>
        <w:t xml:space="preserve">The landscape attributes were selected through a careful process: Using the results of the meta-analysis </w:t>
      </w:r>
      <w:r w:rsidRPr="004B458C">
        <w:rPr>
          <w:sz w:val="20"/>
        </w:rPr>
        <w:fldChar w:fldCharType="begin" w:fldLock="1"/>
      </w:r>
      <w:r w:rsidRPr="004B458C">
        <w:rPr>
          <w:sz w:val="20"/>
        </w:rPr>
        <w:instrText>ADDIN CSL_CITATION { "citationItems" : [ { "id" : "ITEM-1", "itemData" : { "DOI" : "10.1016/j.landurbplan.2014.08.012", "ISSN" : "01692046", "author" : [ { "dropping-particle" : "", "family" : "Zanten", "given" : "Boris T.", "non-dropping-particle" : "van", "parse-names" : false, "suffix" : "" }, { "dropping-particle" : "", "family" : "Verburg", "given" : "Peter H.", "non-dropping-particle" : "", "parse-names" : false, "suffix" : "" }, { "dropping-particle" : "", "family" : "Koetse", "given" : "Mark J", "non-dropping-particle" : "", "parse-names" : false, "suffix" : "" }, { "dropping-particle" : "", "family" : "Beukering", "given" : "Pieter J.H.", "non-dropping-particle" : "van", "parse-names" : false, "suffix" : "" } ], "container-title" : "Landscape and Urban Planning", "id" : "ITEM-1", "issued" : { "date-parts" : [ [ "2014", "12" ] ] }, "page" : "89-101", "title" : "Preferences for European agrarian landscapes: A meta-analysis of case studies", "type" : "article-journal", "volume" : "132" }, "uris" : [ "http://www.mendeley.com/documents/?uuid=7ef22999-9e55-4ba9-908d-45b2e35bda36" ] } ], "mendeley" : { "formattedCitation" : "(van Zanten et al., 2014b)", "plainTextFormattedCitation" : "(van Zanten et al., 2014b)", "previouslyFormattedCitation" : "(van Zanten et al., 2014b)" }, "properties" : { "noteIndex" : 0 }, "schema" : "https://github.com/citation-style-language/schema/raw/master/csl-citation.json" }</w:instrText>
      </w:r>
      <w:r w:rsidRPr="004B458C">
        <w:rPr>
          <w:sz w:val="20"/>
        </w:rPr>
        <w:fldChar w:fldCharType="separate"/>
      </w:r>
      <w:r w:rsidRPr="004B458C">
        <w:rPr>
          <w:noProof/>
          <w:sz w:val="20"/>
        </w:rPr>
        <w:t>(van Zanten et al., 2014b)</w:t>
      </w:r>
      <w:r w:rsidRPr="004B458C">
        <w:rPr>
          <w:sz w:val="20"/>
        </w:rPr>
        <w:fldChar w:fldCharType="end"/>
      </w:r>
      <w:r w:rsidRPr="004B458C">
        <w:rPr>
          <w:sz w:val="20"/>
        </w:rPr>
        <w:t>, a number of potentially important categories of landscape attributes to describe the aesthetic value of agricultural landscapes was identified. Most European landscape preference studies include attributes describing 1) agricultural practices, such as the presence of livestock, farm stewardship or intensity of practices; 2) the composition of agricultural land use (i.e. specific crops or grassland); 3) the prevalence of landscape elements, such as hedgerows, stone walls or riparian vegetation; 4) the presence of patches of forest or moorland.</w:t>
      </w:r>
    </w:p>
    <w:p w:rsidR="003F789A" w:rsidRPr="004B458C" w:rsidRDefault="003F789A" w:rsidP="008C28CE">
      <w:pPr>
        <w:spacing w:line="360" w:lineRule="auto"/>
        <w:rPr>
          <w:sz w:val="20"/>
          <w:highlight w:val="yellow"/>
        </w:rPr>
      </w:pPr>
    </w:p>
    <w:p w:rsidR="003F789A" w:rsidRDefault="003F789A" w:rsidP="008C28CE">
      <w:pPr>
        <w:spacing w:line="360" w:lineRule="auto"/>
        <w:rPr>
          <w:sz w:val="20"/>
        </w:rPr>
      </w:pPr>
      <w:r w:rsidRPr="004B458C">
        <w:rPr>
          <w:sz w:val="20"/>
        </w:rPr>
        <w:lastRenderedPageBreak/>
        <w:t xml:space="preserve">These categories were further refined and adapted to the local landscape context through engagement of stakeholders that are involved in local landscape management and rural tourism. We asked the stakeholders through an open question which characteristics of the agricultural landscape in the area they perceive as the most important for its aesthetic values. They mentioned a number of landscape characteristics including the </w:t>
      </w:r>
      <w:r w:rsidRPr="004B458C">
        <w:rPr>
          <w:i/>
          <w:sz w:val="20"/>
        </w:rPr>
        <w:t>small-scale agricultural landscape with plots enclosed by hedgerows and tree lines</w:t>
      </w:r>
      <w:r w:rsidRPr="004B458C">
        <w:rPr>
          <w:sz w:val="20"/>
        </w:rPr>
        <w:t xml:space="preserve">, the </w:t>
      </w:r>
      <w:r w:rsidRPr="004B458C">
        <w:rPr>
          <w:i/>
          <w:sz w:val="20"/>
        </w:rPr>
        <w:t>diversity of crops</w:t>
      </w:r>
      <w:r w:rsidRPr="004B458C">
        <w:rPr>
          <w:sz w:val="20"/>
        </w:rPr>
        <w:t>,</w:t>
      </w:r>
      <w:r w:rsidRPr="004B458C" w:rsidDel="000F0DC4">
        <w:rPr>
          <w:sz w:val="20"/>
        </w:rPr>
        <w:t xml:space="preserve"> </w:t>
      </w:r>
      <w:r w:rsidRPr="004B458C">
        <w:rPr>
          <w:sz w:val="20"/>
        </w:rPr>
        <w:t>and</w:t>
      </w:r>
      <w:r w:rsidRPr="004B458C">
        <w:rPr>
          <w:i/>
          <w:sz w:val="20"/>
        </w:rPr>
        <w:t xml:space="preserve"> </w:t>
      </w:r>
      <w:r w:rsidRPr="004B458C">
        <w:rPr>
          <w:sz w:val="20"/>
        </w:rPr>
        <w:t xml:space="preserve">the </w:t>
      </w:r>
      <w:r w:rsidRPr="004B458C">
        <w:rPr>
          <w:i/>
          <w:sz w:val="20"/>
        </w:rPr>
        <w:t xml:space="preserve">presence of cattle. </w:t>
      </w:r>
      <w:r w:rsidRPr="004B458C">
        <w:rPr>
          <w:sz w:val="20"/>
        </w:rPr>
        <w:t>Based on this discussion, the authors decided that in this study, the visual appearance of the agricultural landscape is mainly defined by four landscape attributes: 1) the presence of livestock (cattle), 2) the ratio between maize and grassland, 3) the prevalence of hedgerows and tree lines and 4) the prevalence of forest patches.</w:t>
      </w:r>
    </w:p>
    <w:p w:rsidR="003F789A" w:rsidRPr="004B458C" w:rsidRDefault="003F789A" w:rsidP="008C28CE">
      <w:pPr>
        <w:spacing w:line="360" w:lineRule="auto"/>
        <w:rPr>
          <w:sz w:val="20"/>
        </w:rPr>
      </w:pPr>
    </w:p>
    <w:p w:rsidR="003F789A" w:rsidRPr="008C28CE" w:rsidRDefault="003F789A" w:rsidP="008C28CE">
      <w:pPr>
        <w:rPr>
          <w:b/>
          <w:sz w:val="20"/>
        </w:rPr>
      </w:pPr>
      <w:r w:rsidRPr="008C28CE">
        <w:rPr>
          <w:b/>
          <w:sz w:val="20"/>
        </w:rPr>
        <w:t>Spatial variation of landscape attributes</w:t>
      </w:r>
    </w:p>
    <w:p w:rsidR="003F789A" w:rsidRDefault="003F789A" w:rsidP="008C28CE">
      <w:pPr>
        <w:spacing w:line="360" w:lineRule="auto"/>
        <w:rPr>
          <w:sz w:val="20"/>
        </w:rPr>
      </w:pPr>
      <w:r w:rsidRPr="004B458C">
        <w:rPr>
          <w:sz w:val="20"/>
        </w:rPr>
        <w:t xml:space="preserve">Spatial data on the presence of livestock is extracted from the Dutch agricultural census, georeferenced at farm level </w:t>
      </w:r>
      <w:r w:rsidRPr="004B458C">
        <w:rPr>
          <w:sz w:val="20"/>
        </w:rPr>
        <w:fldChar w:fldCharType="begin" w:fldLock="1"/>
      </w:r>
      <w:r w:rsidRPr="004B458C">
        <w:rPr>
          <w:sz w:val="20"/>
        </w:rPr>
        <w:instrText>ADDIN CSL_CITATION { "citationItems" : [ { "id" : "ITEM-1", "itemData" : { "author" : [ { "dropping-particle" : "", "family" : "Naeff", "given" : "H.S.D.", "non-dropping-particle" : "", "parse-names" : false, "suffix" : "" }, { "dropping-particle" : "", "family" : "Smit", "given" : "R.A.", "non-dropping-particle" : "", "parse-names" : false, "suffix" : "" }, { "dropping-particle" : "", "family" : "Vos", "given" : "E.C.", "non-dropping-particle" : "", "parse-names" : false, "suffix" : "" } ], "id" : "ITEM-1", "issued" : { "date-parts" : [ [ "2014" ] ] }, "title" : "Geactualiseerd GIAB bestand 2011 voor Nederland", "type" : "report" }, "uris" : [ "http://www.mendeley.com/documents/?uuid=89af872f-5939-4ab6-9408-399fd8cd2da0" ] } ], "mendeley" : { "formattedCitation" : "(Naeff et al., 2014)", "plainTextFormattedCitation" : "(Naeff et al., 2014)", "previouslyFormattedCitation" : "(Naeff et al., 2014)" }, "properties" : { "noteIndex" : 0 }, "schema" : "https://github.com/citation-style-language/schema/raw/master/csl-citation.json" }</w:instrText>
      </w:r>
      <w:r w:rsidRPr="004B458C">
        <w:rPr>
          <w:sz w:val="20"/>
        </w:rPr>
        <w:fldChar w:fldCharType="separate"/>
      </w:r>
      <w:r w:rsidRPr="004B458C">
        <w:rPr>
          <w:noProof/>
          <w:sz w:val="20"/>
        </w:rPr>
        <w:t>(Naeff et al., 2014)</w:t>
      </w:r>
      <w:r w:rsidRPr="004B458C">
        <w:rPr>
          <w:sz w:val="20"/>
        </w:rPr>
        <w:fldChar w:fldCharType="end"/>
      </w:r>
      <w:r w:rsidRPr="004B458C">
        <w:rPr>
          <w:sz w:val="20"/>
        </w:rPr>
        <w:t xml:space="preserve">. This attribute is defined as a dichotomous variable; it describes the presence or absence of livestock based on the likelihood of encountering livestock in the field. The maize-grassland ratio – the attribute to describe the composition of agricultural land use – is extracted from the Dutch national topographical vector dataset </w:t>
      </w:r>
      <w:r w:rsidRPr="004B458C">
        <w:rPr>
          <w:sz w:val="20"/>
        </w:rPr>
        <w:fldChar w:fldCharType="begin" w:fldLock="1"/>
      </w:r>
      <w:r w:rsidRPr="004B458C">
        <w:rPr>
          <w:sz w:val="20"/>
        </w:rPr>
        <w:instrText>ADDIN CSL_CITATION { "citationItems" : [ { "id" : "ITEM-1", "itemData" : { "URL" : "https://www.pdok.nl/nl/producten/pdok-downloads/basis-registratie-topografie/topnl/topnl-actueel/top10nl", "accessed" : { "date-parts" : [ [ "2013", "6", "8" ] ] }, "author" : [ { "dropping-particle" : "", "family" : "Kadaster", "given" : "", "non-dropping-particle" : "", "parse-names" : false, "suffix" : "" } ], "id" : "ITEM-1", "issued" : { "date-parts" : [ [ "2013" ] ] }, "title" : "TOP10NL", "type" : "webpage" }, "uris" : [ "http://www.mendeley.com/documents/?uuid=930a6d32-b6bb-4ada-9c4b-be0ad4cb81b3" ] } ], "mendeley" : { "formattedCitation" : "(Kadaster, 2013)", "manualFormatting" : "(TOP10; Kadaster, 2013)", "plainTextFormattedCitation" : "(Kadaster, 2013)", "previouslyFormattedCitation" : "(Kadaster, 2013)" }, "properties" : { "noteIndex" : 0 }, "schema" : "https://github.com/citation-style-language/schema/raw/master/csl-citation.json" }</w:instrText>
      </w:r>
      <w:r w:rsidRPr="004B458C">
        <w:rPr>
          <w:sz w:val="20"/>
        </w:rPr>
        <w:fldChar w:fldCharType="separate"/>
      </w:r>
      <w:r w:rsidRPr="004B458C">
        <w:rPr>
          <w:noProof/>
          <w:sz w:val="20"/>
        </w:rPr>
        <w:t>(TOP10; Kadaster, 2013)</w:t>
      </w:r>
      <w:r w:rsidRPr="004B458C">
        <w:rPr>
          <w:sz w:val="20"/>
        </w:rPr>
        <w:fldChar w:fldCharType="end"/>
      </w:r>
      <w:r w:rsidRPr="004B458C">
        <w:rPr>
          <w:sz w:val="20"/>
        </w:rPr>
        <w:t xml:space="preserve">. Because the largest share of the arable land in the area is used to grow maize (75%, </w:t>
      </w:r>
      <w:r w:rsidRPr="004B458C">
        <w:rPr>
          <w:sz w:val="20"/>
        </w:rPr>
        <w:fldChar w:fldCharType="begin" w:fldLock="1"/>
      </w:r>
      <w:r w:rsidRPr="004B458C">
        <w:rPr>
          <w:sz w:val="20"/>
        </w:rPr>
        <w:instrText>ADDIN CSL_CITATION { "citationItems" : [ { "id" : "ITEM-1", "itemData" : { "ISBN" : "Rapport 76", "author" : [ { "dropping-particle" : "", "family" : "Korevaar", "given" : "Hein", "non-dropping-particle" : "", "parse-names" : false, "suffix" : "" }, { "dropping-particle" : "", "family" : "Meulenkamp", "given" : "Wim", "non-dropping-particle" : "", "parse-names" : false, "suffix" : "" }, { "dropping-particle" : "", "family" : "Agricola", "given" : "Herman", "non-dropping-particle" : "", "parse-names" : false, "suffix" : "" }, { "dropping-particle" : "", "family" : "Geerts", "given" : "Rob", "non-dropping-particle" : "", "parse-names" : false, "suffix" : "" }, { "dropping-particle" : "", "family" : "Kolk", "given" : "Jennie", "non-dropping-particle" : "van der", "parse-names" : false, "suffix" : "" } ], "id" : "ITEM-1", "issued" : { "date-parts" : [ [ "2008" ] ] }, "page" : "94", "title" : "Kwaliteit van het landelijk gebied in drie Nationale Landschappen (Rural area quality in three Dutch \u2018National Landscapes\u2019)", "type" : "article-journal" }, "uris" : [ "http://www.mendeley.com/documents/?uuid=d3c9ed34-bec9-49c4-9d29-d83c7a76bff7" ] } ], "mendeley" : { "formattedCitation" : "(Hein Korevaar et al., 2008)", "manualFormatting" : "Korevaar et al., 2008)", "plainTextFormattedCitation" : "(Hein Korevaar et al., 2008)", "previouslyFormattedCitation" : "(Hein Korevaar et al., 2008)" }, "properties" : { "noteIndex" : 0 }, "schema" : "https://github.com/citation-style-language/schema/raw/master/csl-citation.json" }</w:instrText>
      </w:r>
      <w:r w:rsidRPr="004B458C">
        <w:rPr>
          <w:sz w:val="20"/>
        </w:rPr>
        <w:fldChar w:fldCharType="separate"/>
      </w:r>
      <w:r w:rsidRPr="004B458C">
        <w:rPr>
          <w:noProof/>
          <w:sz w:val="20"/>
        </w:rPr>
        <w:t>Korevaar et al., 2008)</w:t>
      </w:r>
      <w:r w:rsidRPr="004B458C">
        <w:rPr>
          <w:sz w:val="20"/>
        </w:rPr>
        <w:fldChar w:fldCharType="end"/>
      </w:r>
      <w:r w:rsidRPr="004B458C">
        <w:rPr>
          <w:sz w:val="20"/>
        </w:rPr>
        <w:t xml:space="preserve">, the maize-grassland ratio is established by dividing the area arable land by the area grassland. The prevalence of hedgerows and tree lines is measured by the length of these linear elements in meters. The data are extracted from the VIRIS-database </w:t>
      </w:r>
      <w:r w:rsidRPr="004B458C">
        <w:rPr>
          <w:sz w:val="20"/>
        </w:rPr>
        <w:fldChar w:fldCharType="begin" w:fldLock="1"/>
      </w:r>
      <w:r w:rsidRPr="004B458C">
        <w:rPr>
          <w:sz w:val="20"/>
        </w:rPr>
        <w:instrText>ADDIN CSL_CITATION { "citationItems" : [ { "id" : "ITEM-1", "itemData" : { "URL" : "http://www.wageningenur.nl/nl/show/VIRIS.htm", "accessed" : { "date-parts" : [ [ "2013", "5", "12" ] ] }, "author" : [ { "dropping-particle" : "", "family" : "Alterra Wageningen UR", "given" : "", "non-dropping-particle" : "", "parse-names" : false, "suffix" : "" } ], "id" : "ITEM-1", "issued" : { "date-parts" : [ [ "2006" ] ] }, "title" : "Visueel Ruimtelijk Informatiesysteem (VIRIS)", "type" : "webpage" }, "uris" : [ "http://www.mendeley.com/documents/?uuid=2617fe48-bb22-4794-aedd-ca968d650192" ] } ], "mendeley" : { "formattedCitation" : "(Alterra Wageningen UR, 2006)", "plainTextFormattedCitation" : "(Alterra Wageningen UR, 2006)", "previouslyFormattedCitation" : "(Alterra Wageningen UR, 2006)" }, "properties" : { "noteIndex" : 0 }, "schema" : "https://github.com/citation-style-language/schema/raw/master/csl-citation.json" }</w:instrText>
      </w:r>
      <w:r w:rsidRPr="004B458C">
        <w:rPr>
          <w:sz w:val="20"/>
        </w:rPr>
        <w:fldChar w:fldCharType="separate"/>
      </w:r>
      <w:r w:rsidRPr="004B458C">
        <w:rPr>
          <w:noProof/>
          <w:sz w:val="20"/>
        </w:rPr>
        <w:t>(Alterra Wageningen UR, 2006)</w:t>
      </w:r>
      <w:r w:rsidRPr="004B458C">
        <w:rPr>
          <w:sz w:val="20"/>
        </w:rPr>
        <w:fldChar w:fldCharType="end"/>
      </w:r>
      <w:r w:rsidRPr="004B458C">
        <w:rPr>
          <w:sz w:val="20"/>
        </w:rPr>
        <w:t xml:space="preserve">, which is a 25 meter resolution grid based on the TOP10 source data. The prevalence of forest patches is mapped based on TOP10 vector data and is defined as a continuous variable based on the count of forest patches. Because of the high level of detail of the data (often one forest patch consists of multiple polygons), forest patches are aggregated in a search area of 25 meter around each polygon. </w:t>
      </w:r>
    </w:p>
    <w:p w:rsidR="003F789A" w:rsidRPr="004B458C" w:rsidRDefault="003F789A" w:rsidP="008C28CE">
      <w:pPr>
        <w:spacing w:line="360" w:lineRule="auto"/>
        <w:rPr>
          <w:sz w:val="20"/>
        </w:rPr>
      </w:pPr>
    </w:p>
    <w:p w:rsidR="003F789A" w:rsidRPr="004B458C" w:rsidRDefault="003F789A" w:rsidP="008C28CE">
      <w:pPr>
        <w:spacing w:line="360" w:lineRule="auto"/>
        <w:rPr>
          <w:sz w:val="20"/>
        </w:rPr>
      </w:pPr>
      <w:r w:rsidRPr="004B458C">
        <w:rPr>
          <w:sz w:val="20"/>
        </w:rPr>
        <w:t>Since the presence of landscape elements and forest patches in this type of small-scale agricultural landscapes often obstructs a full 360</w:t>
      </w:r>
      <w:r w:rsidRPr="004B458C">
        <w:rPr>
          <w:sz w:val="20"/>
          <w:vertAlign w:val="superscript"/>
        </w:rPr>
        <w:t xml:space="preserve">o </w:t>
      </w:r>
      <w:r w:rsidRPr="004B458C">
        <w:rPr>
          <w:sz w:val="20"/>
        </w:rPr>
        <w:t>view, we assume that the visual landscape is twice the area presented in the base landscape picture. For the presence of livestock, the results of the moving window analysis indicate the mean presence of livestock in the field, which yields a value between 0 and 1. We interpret this value as the probability of encountering livestock. For the maize-grassland ratio, the moving window analysis yields the mean value in the neighbo</w:t>
      </w:r>
      <w:r>
        <w:rPr>
          <w:sz w:val="20"/>
        </w:rPr>
        <w:t>u</w:t>
      </w:r>
      <w:r w:rsidRPr="004B458C">
        <w:rPr>
          <w:sz w:val="20"/>
        </w:rPr>
        <w:t>rhood around each cell. For prevalence of hedgerows and tree lines and the prevalence of forest patches, we calculate the sum in the neighbo</w:t>
      </w:r>
      <w:r>
        <w:rPr>
          <w:sz w:val="20"/>
        </w:rPr>
        <w:t>u</w:t>
      </w:r>
      <w:r w:rsidRPr="004B458C">
        <w:rPr>
          <w:sz w:val="20"/>
        </w:rPr>
        <w:t>rhood around each cell.</w:t>
      </w:r>
    </w:p>
    <w:p w:rsidR="003F789A" w:rsidRDefault="003F789A" w:rsidP="008C28CE">
      <w:pPr>
        <w:spacing w:line="360" w:lineRule="auto"/>
        <w:rPr>
          <w:sz w:val="20"/>
        </w:rPr>
      </w:pPr>
      <w:r w:rsidRPr="004B458C">
        <w:rPr>
          <w:sz w:val="20"/>
        </w:rPr>
        <w:t xml:space="preserve">We use the results of the moving window analysis to define the levels of the landscape attributes in the choice experiment. In the choice experiment, the presence of livestock has two levels: presence and absence of livestock, as a probability for encountering livestock is not easily visualized in landscape pictures. </w:t>
      </w:r>
    </w:p>
    <w:p w:rsidR="003F789A" w:rsidRDefault="003F789A" w:rsidP="008C28CE">
      <w:pPr>
        <w:pStyle w:val="Heading2"/>
        <w:numPr>
          <w:ilvl w:val="0"/>
          <w:numId w:val="0"/>
        </w:numPr>
        <w:spacing w:line="360" w:lineRule="auto"/>
        <w:rPr>
          <w:b w:val="0"/>
          <w:color w:val="333333"/>
          <w:sz w:val="20"/>
        </w:rPr>
      </w:pPr>
    </w:p>
    <w:p w:rsidR="003F789A" w:rsidRPr="008C28CE" w:rsidRDefault="003F789A" w:rsidP="008C28CE">
      <w:pPr>
        <w:rPr>
          <w:b/>
          <w:sz w:val="20"/>
        </w:rPr>
      </w:pPr>
      <w:r w:rsidRPr="008C28CE">
        <w:rPr>
          <w:b/>
          <w:sz w:val="20"/>
        </w:rPr>
        <w:t>Choice experiment</w:t>
      </w:r>
    </w:p>
    <w:p w:rsidR="003F789A" w:rsidRDefault="003F789A" w:rsidP="008C28CE">
      <w:pPr>
        <w:spacing w:line="360" w:lineRule="auto"/>
        <w:rPr>
          <w:sz w:val="20"/>
        </w:rPr>
      </w:pPr>
      <w:r w:rsidRPr="004B458C">
        <w:rPr>
          <w:sz w:val="20"/>
        </w:rPr>
        <w:t>Choice mode</w:t>
      </w:r>
      <w:r>
        <w:rPr>
          <w:sz w:val="20"/>
        </w:rPr>
        <w:t>ll</w:t>
      </w:r>
      <w:r w:rsidRPr="004B458C">
        <w:rPr>
          <w:sz w:val="20"/>
        </w:rPr>
        <w:t xml:space="preserve">ing is a tool to elicit preference for a set of alternative goods, services or policy alternatives </w:t>
      </w:r>
      <w:r w:rsidRPr="004B458C">
        <w:rPr>
          <w:sz w:val="20"/>
        </w:rPr>
        <w:fldChar w:fldCharType="begin" w:fldLock="1"/>
      </w:r>
      <w:r w:rsidRPr="004B458C">
        <w:rPr>
          <w:sz w:val="20"/>
        </w:rPr>
        <w:instrText>ADDIN CSL_CITATION { "citationItems" : [ { "id" : "ITEM-1", "itemData" : { "DOI" : "10.1016/j.ecolecon.2010.04.011", "ISBN" : "09218009", "ISSN" : "09218009", "abstract" : "This paper provides with a review of the state of the art of environmental valuation with discrete choice experiments (DCEs). The growing body of literature on this field serves to emphasize the increasing role that DCEs are playing in environmental decision making in the last decade. The paper attempts to cover the full process of undertaking a choice experiment, including survey and experimental design, econometric analysis of choice data and welfare analysis. The research on this field is found to be intense, although many challenges are put forward (e.g. choice-task complexity and cognitive effort, experimental design, preference and scale heterogeneity, endogeneity or model uncertainty). Reviewing the state of the art of DCEs serves to draw attention to the main challenges that this methodological approach will need to overcome in the coming years and to identify the frontiers in discrete choice analysis. ?? 2010 Elsevier B.V. All rights reserved.", "author" : [ { "dropping-particle" : "", "family" : "Hoyos", "given" : "David", "non-dropping-particle" : "", "parse-names" : false, "suffix" : "" } ], "container-title" : "Ecological Economics", "id" : "ITEM-1", "issue" : "8", "issued" : { "date-parts" : [ [ "2010" ] ] }, "page" : "1595-1603", "publisher" : "Elsevier B.V.", "title" : "The state of the art of environmental valuation with discrete choice experiments", "type" : "article-journal", "volume" : "69" }, "uris" : [ "http://www.mendeley.com/documents/?uuid=c88f5a55-157f-4c11-81b5-b292fc528889" ] }, { "id" : "ITEM-2", "itemData" : { "ISBN" : "0 511 01173 3", "author" : [ { "dropping-particle" : "", "family" : "Louviere", "given" : "Jordan J", "non-dropping-particle" : "", "parse-names" : false, "suffix" : "" }, { "dropping-particle" : "", "family" : "Hensher", "given" : "David A", "non-dropping-particle" : "", "parse-names" : false, "suffix" : "" }, { "dropping-particle" : "", "family" : "Swait", "given" : "Joffre D", "non-dropping-particle" : "", "parse-names" : false, "suffix" : "" } ], "id" : "ITEM-2", "issued" : { "date-parts" : [ [ "2003" ] ] }, "number-of-pages" : "402", "publisher" : "Cambridge University Press", "publisher-place" : "Cambridge", "title" : "Stated Choice Methods: Analysis and Applications", "type" : "book" }, "uris" : [ "http://www.mendeley.com/documents/?uuid=852124de-1795-4c21-9f2e-2ad7c1728fb9" ] }, { "id" : "ITEM-3", "itemData" : { "DOI" : "10.1016/j.landurbplan.2007.05.013", "ISSN" : "01692046", "author" : [ { "dropping-particle" : "", "family" : "Rambonilaza", "given" : "Mbolatiana", "non-dropping-particle" : "", "parse-names" : false, "suffix" : "" }, { "dropping-particle" : "", "family" : "Dachary-Bernard", "given" : "Jeanne", "non-dropping-particle" : "", "parse-names" : false, "suffix" : "" } ], "container-title" : "Landscape and Urban Planning", "id" : "ITEM-3", "issue" : "4", "issued" : { "date-parts" : [ [ "2007", "12" ] ] }, "note" : "Case Study: in filescannedIN DATABASEINDEPENDENTSMAIN AREA OF RESIDENCE (URBAN/RURAL)INCOME", "page" : "318-326", "title" : "Land-use planning and public preferences: What can we learn from choice experiment method?", "type" : "article-journal", "volume" : "83" }, "uris" : [ "http://www.mendeley.com/documents/?uuid=eb413f9a-892a-4b3a-bfb5-e61ca6598274" ] } ], "mendeley" : { "formattedCitation" : "(Hoyos, 2010; Louviere et al., 2003; Rambonilaza and Dachary-Bernard, 2007)", "plainTextFormattedCitation" : "(Hoyos, 2010; Louviere et al., 2003; Rambonilaza and Dachary-Bernard, 2007)", "previouslyFormattedCitation" : "(Hoyos, 2010; Louviere et al., 2003; Rambonilaza and Dachary-Bernard, 2007)" }, "properties" : { "noteIndex" : 0 }, "schema" : "https://github.com/citation-style-language/schema/raw/master/csl-citation.json" }</w:instrText>
      </w:r>
      <w:r w:rsidRPr="004B458C">
        <w:rPr>
          <w:sz w:val="20"/>
        </w:rPr>
        <w:fldChar w:fldCharType="separate"/>
      </w:r>
      <w:r w:rsidRPr="004B458C">
        <w:rPr>
          <w:noProof/>
          <w:sz w:val="20"/>
        </w:rPr>
        <w:t>(Hoyos, 2010; Louviere et al., 2003; Rambonilaza and Dachary-Bernard, 2007)</w:t>
      </w:r>
      <w:r w:rsidRPr="004B458C">
        <w:rPr>
          <w:sz w:val="20"/>
        </w:rPr>
        <w:fldChar w:fldCharType="end"/>
      </w:r>
      <w:r w:rsidRPr="004B458C">
        <w:rPr>
          <w:sz w:val="20"/>
        </w:rPr>
        <w:t xml:space="preserve">. In a choice experiment, an good or service – in this case a visual agricultural landscape – is defined using a set of attributes that are expected to determine the value of the good. In this experiment, we present a series of eight choices to respondents, which each consist of three different landscape alternatives (i.e. combinations of landscape attributes, see Figure </w:t>
      </w:r>
      <w:r>
        <w:rPr>
          <w:sz w:val="20"/>
        </w:rPr>
        <w:t>1</w:t>
      </w:r>
      <w:r w:rsidRPr="004B458C">
        <w:rPr>
          <w:sz w:val="20"/>
        </w:rPr>
        <w:t xml:space="preserve">). Choice experiments build on random utility theory, which states that the utility that an individual gains from a good depends on a systematic component, i.e. the landscape attributes, and a random component </w:t>
      </w:r>
      <w:r w:rsidRPr="004B458C">
        <w:rPr>
          <w:sz w:val="20"/>
        </w:rPr>
        <w:fldChar w:fldCharType="begin" w:fldLock="1"/>
      </w:r>
      <w:r w:rsidRPr="004B458C">
        <w:rPr>
          <w:sz w:val="20"/>
        </w:rPr>
        <w:instrText>ADDIN CSL_CITATION { "citationItems" : [ { "id" : "ITEM-1", "itemData" : { "author" : [ { "dropping-particle" : "", "family" : "McFadden", "given" : "D", "non-dropping-particle" : "", "parse-names" : false, "suffix" : "" } ], "container-title" : "Frontiers in Econometrics", "editor" : [ { "dropping-particle" : "", "family" : "Zarembaka", "given" : "P", "non-dropping-particle" : "", "parse-names" : false, "suffix" : "" } ], "id" : "ITEM-1", "issued" : { "date-parts" : [ [ "1974" ] ] }, "page" : "105-142", "publisher" : "Academic Press", "publisher-place" : "New York", "title" : "Conditional logit analysis of qualitative choice behavior", "type" : "chapter" }, "uris" : [ "http://www.mendeley.com/documents/?uuid=c38194dc-acb3-4326-9842-7d43b03f00ff" ] } ], "mendeley" : { "formattedCitation" : "(McFadden, 1974)", "plainTextFormattedCitation" : "(McFadden, 1974)", "previouslyFormattedCitation" : "(McFadden, 1974)" }, "properties" : { "noteIndex" : 0 }, "schema" : "https://github.com/citation-style-language/schema/raw/master/csl-citation.json" }</w:instrText>
      </w:r>
      <w:r w:rsidRPr="004B458C">
        <w:rPr>
          <w:sz w:val="20"/>
        </w:rPr>
        <w:fldChar w:fldCharType="separate"/>
      </w:r>
      <w:r w:rsidRPr="004B458C">
        <w:rPr>
          <w:noProof/>
          <w:sz w:val="20"/>
        </w:rPr>
        <w:t>(McFadden, 1974)</w:t>
      </w:r>
      <w:r w:rsidRPr="004B458C">
        <w:rPr>
          <w:sz w:val="20"/>
        </w:rPr>
        <w:fldChar w:fldCharType="end"/>
      </w:r>
      <w:r w:rsidRPr="004B458C">
        <w:rPr>
          <w:sz w:val="20"/>
        </w:rPr>
        <w:t xml:space="preserve">. Based on the collected data, a choice model estimates the probability that respondents choose a landscape alternative, using the attributes in the experiment as independent variables. Generally, choice experiments in environmental economics consist of a number of ecological/landscape attributes as well as a price-attribute to enable inference of a monetary value of environmental attributes </w:t>
      </w:r>
      <w:r w:rsidRPr="004B458C">
        <w:rPr>
          <w:sz w:val="20"/>
        </w:rPr>
        <w:fldChar w:fldCharType="begin" w:fldLock="1"/>
      </w:r>
      <w:r w:rsidRPr="004B458C">
        <w:rPr>
          <w:sz w:val="20"/>
        </w:rPr>
        <w:instrText>ADDIN CSL_CITATION { "citationItems" : [ { "id" : "ITEM-1", "itemData" : { "DOI" : "10.1080/09640568.2010.547691", "ISSN" : "0964-0568", "author" : [ { "dropping-particle" : "", "family" : "Hynes", "given" : "Stephen", "non-dropping-particle" : "", "parse-names" : false, "suffix" : "" }, { "dropping-particle" : "", "family" : "Campbell", "given" : "Danny", "non-dropping-particle" : "", "parse-names" : false, "suffix" : "" } ], "container-title" : "Journal of Environmental Planning and Management", "id" : "ITEM-1", "issue" : "8", "issued" : { "date-parts" : [ [ "2011", "10" ] ] }, "note" : "IN DATABASE", "page" : "1019-1039", "title" : "Estimating the welfare impacts of agricultural landscape change in Ireland: a choice experiment approach", "type" : "article-journal", "volume" : "54" }, "uris" : [ "http://www.mendeley.com/documents/?uuid=5e6eb14a-9614-4718-a6dc-b006144a0a96" ] }, { "id" : "ITEM-2", "itemData" : { "author" : [ { "dropping-particle" : "", "family" : "Hanley", "given" : "Nick", "non-dropping-particle" : "", "parse-names" : false, "suffix" : "" }, { "dropping-particle" : "", "family" : "Wright", "given" : "Robert E", "non-dropping-particle" : "", "parse-names" : false, "suffix" : "" }, { "dropping-particle" : "", "family" : "Adamowicz", "given" : "V I C", "non-dropping-particle" : "", "parse-names" : false, "suffix" : "" } ], "container-title" : "Environmental and Resource Economics", "id" : "ITEM-2", "issued" : { "date-parts" : [ [ "1998" ] ] }, "page" : "413-428", "title" : "Using Choice Experiments to Value the Environment", "type" : "article-journal", "volume" : "11" }, "uris" : [ "http://www.mendeley.com/documents/?uuid=c31d6974-1106-4e0e-861b-41127fc26729" ] } ], "mendeley" : { "formattedCitation" : "(Hanley et al., 1998; Hynes and Campbell, 2011)", "plainTextFormattedCitation" : "(Hanley et al., 1998; Hynes and Campbell, 2011)", "previouslyFormattedCitation" : "(Hanley et al., 1998; Hynes and Campbell, 2011)" }, "properties" : { "noteIndex" : 0 }, "schema" : "https://github.com/citation-style-language/schema/raw/master/csl-citation.json" }</w:instrText>
      </w:r>
      <w:r w:rsidRPr="004B458C">
        <w:rPr>
          <w:sz w:val="20"/>
        </w:rPr>
        <w:fldChar w:fldCharType="separate"/>
      </w:r>
      <w:r w:rsidRPr="004B458C">
        <w:rPr>
          <w:noProof/>
          <w:sz w:val="20"/>
        </w:rPr>
        <w:t>(Hanley et al., 1998; Hynes and Campbell, 2011)</w:t>
      </w:r>
      <w:r w:rsidRPr="004B458C">
        <w:rPr>
          <w:sz w:val="20"/>
        </w:rPr>
        <w:fldChar w:fldCharType="end"/>
      </w:r>
      <w:r w:rsidRPr="004B458C">
        <w:rPr>
          <w:sz w:val="20"/>
        </w:rPr>
        <w:t xml:space="preserve">. However, for this experiment the objective is to map the relative preferences for the key visual landscape attributes in the area (as a proxy for the aesthetic as an ecosystem service) rather than a monetary estimate of the stated value of the agricultural landscapes. Therefore, we do not include a price attribute. </w:t>
      </w:r>
    </w:p>
    <w:p w:rsidR="003F789A" w:rsidRPr="004B458C" w:rsidRDefault="003F789A" w:rsidP="008C28CE">
      <w:pPr>
        <w:spacing w:line="360" w:lineRule="auto"/>
        <w:rPr>
          <w:sz w:val="20"/>
        </w:rPr>
      </w:pPr>
    </w:p>
    <w:p w:rsidR="003F789A" w:rsidRPr="004B458C" w:rsidRDefault="003F789A" w:rsidP="008C28CE">
      <w:pPr>
        <w:spacing w:after="0" w:line="360" w:lineRule="auto"/>
        <w:rPr>
          <w:sz w:val="20"/>
        </w:rPr>
      </w:pPr>
      <w:r w:rsidRPr="004B458C">
        <w:rPr>
          <w:sz w:val="20"/>
        </w:rPr>
        <w:t xml:space="preserve">In July 2013, the choice experiment and an accompanying questionnaire was completed through 191 face-to-face interviews in the Dutch municipality of </w:t>
      </w:r>
      <w:proofErr w:type="spellStart"/>
      <w:r w:rsidRPr="004B458C">
        <w:rPr>
          <w:sz w:val="20"/>
        </w:rPr>
        <w:t>Winterswijk</w:t>
      </w:r>
      <w:proofErr w:type="spellEnd"/>
      <w:r w:rsidRPr="004B458C">
        <w:rPr>
          <w:sz w:val="20"/>
        </w:rPr>
        <w:t xml:space="preserve">. All respondents were briefly introduced with the concept of </w:t>
      </w:r>
      <w:proofErr w:type="spellStart"/>
      <w:r w:rsidRPr="004B458C">
        <w:rPr>
          <w:sz w:val="20"/>
        </w:rPr>
        <w:t>agri</w:t>
      </w:r>
      <w:proofErr w:type="spellEnd"/>
      <w:r w:rsidRPr="004B458C">
        <w:rPr>
          <w:sz w:val="20"/>
        </w:rPr>
        <w:t>-environmental measures. For the choice experiment itself, each respondent was confronted with eight choice situations with three landscape alternatives. The experiment did not include an opt-out option. The experiment is not focused on specific policy measures or a landscape change over time, but it is developed to assess the relative importance of the different attributes in the landscape in the regional landscape context. For a detailed description of the data collection and model estimation for this choice experiment, we refer to the Supplementary Material S1.</w:t>
      </w:r>
    </w:p>
    <w:p w:rsidR="003F789A" w:rsidRPr="004B458C" w:rsidRDefault="003F789A" w:rsidP="008C28CE">
      <w:pPr>
        <w:spacing w:line="360" w:lineRule="auto"/>
        <w:rPr>
          <w:sz w:val="20"/>
        </w:rPr>
      </w:pPr>
    </w:p>
    <w:p w:rsidR="003F789A" w:rsidRDefault="003F789A" w:rsidP="008C28CE">
      <w:pPr>
        <w:spacing w:line="360" w:lineRule="auto"/>
        <w:rPr>
          <w:sz w:val="20"/>
        </w:rPr>
      </w:pPr>
      <w:r w:rsidRPr="004B458C">
        <w:rPr>
          <w:sz w:val="20"/>
        </w:rPr>
        <w:t xml:space="preserve">Table 1 shows the translation of attribute levels derived from the spatial datasets to the digitally manipulated landscape pictures in the choice experiment. Figure </w:t>
      </w:r>
      <w:r>
        <w:rPr>
          <w:sz w:val="20"/>
        </w:rPr>
        <w:t>1</w:t>
      </w:r>
      <w:r w:rsidRPr="004B458C">
        <w:rPr>
          <w:sz w:val="20"/>
        </w:rPr>
        <w:t xml:space="preserve"> shows three alternative landscape pictures as they are presented to the respondents. The maps above the landscape alternatives show where and how the attributes maize-grassland ratio, prevalence of hedgerows and tree lines and the prevalence of forest patches are placed into the landscape that is visible on the picture. The presence of livestock is a dichotomous variable (present or absent), displayed in the foreground and therefore not shown in the map. The background landscape is held constant in all landscape alternatives. The location of the background landscape is selected because of the slightly elevated perspective, which </w:t>
      </w:r>
      <w:r w:rsidRPr="004B458C">
        <w:rPr>
          <w:sz w:val="20"/>
        </w:rPr>
        <w:lastRenderedPageBreak/>
        <w:t xml:space="preserve">enables us to capture all four landscape attributes in a single picture, but still ensuring a credible surrogate for a realistic first person landscape experience (Figure 1).        </w:t>
      </w:r>
    </w:p>
    <w:p w:rsidR="003F789A" w:rsidRPr="001C42D8" w:rsidRDefault="003F789A" w:rsidP="001C42D8">
      <w:pPr>
        <w:rPr>
          <w:sz w:val="20"/>
        </w:rPr>
      </w:pPr>
    </w:p>
    <w:p w:rsidR="003F789A" w:rsidRPr="001C42D8" w:rsidRDefault="003F789A" w:rsidP="001C42D8">
      <w:pPr>
        <w:rPr>
          <w:sz w:val="20"/>
        </w:rPr>
      </w:pPr>
      <w:r w:rsidRPr="001C42D8">
        <w:rPr>
          <w:sz w:val="20"/>
        </w:rPr>
        <w:t xml:space="preserve">Table 1: Attribute levels in the spatial data and the landscape visualization.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8"/>
        <w:gridCol w:w="882"/>
        <w:gridCol w:w="1875"/>
        <w:gridCol w:w="910"/>
        <w:gridCol w:w="1227"/>
        <w:gridCol w:w="915"/>
        <w:gridCol w:w="1315"/>
      </w:tblGrid>
      <w:tr w:rsidR="003F789A" w:rsidRPr="001C42D8" w:rsidTr="008C28CE">
        <w:tc>
          <w:tcPr>
            <w:tcW w:w="1157" w:type="pct"/>
            <w:tcBorders>
              <w:left w:val="nil"/>
              <w:right w:val="nil"/>
            </w:tcBorders>
          </w:tcPr>
          <w:p w:rsidR="003F789A" w:rsidRPr="001C42D8" w:rsidRDefault="003F789A" w:rsidP="001C42D8">
            <w:pPr>
              <w:jc w:val="left"/>
              <w:rPr>
                <w:b/>
                <w:sz w:val="18"/>
                <w:szCs w:val="18"/>
              </w:rPr>
            </w:pPr>
            <w:r w:rsidRPr="001C42D8">
              <w:rPr>
                <w:b/>
                <w:sz w:val="18"/>
                <w:szCs w:val="18"/>
              </w:rPr>
              <w:t>Attribute</w:t>
            </w:r>
          </w:p>
        </w:tc>
        <w:tc>
          <w:tcPr>
            <w:tcW w:w="1513" w:type="pct"/>
            <w:gridSpan w:val="2"/>
            <w:tcBorders>
              <w:left w:val="nil"/>
              <w:right w:val="nil"/>
            </w:tcBorders>
          </w:tcPr>
          <w:p w:rsidR="003F789A" w:rsidRPr="001C42D8" w:rsidRDefault="003F789A" w:rsidP="001C42D8">
            <w:pPr>
              <w:jc w:val="left"/>
              <w:rPr>
                <w:b/>
                <w:sz w:val="18"/>
                <w:szCs w:val="18"/>
              </w:rPr>
            </w:pPr>
            <w:r w:rsidRPr="001C42D8">
              <w:rPr>
                <w:b/>
                <w:sz w:val="18"/>
                <w:szCs w:val="18"/>
              </w:rPr>
              <w:t xml:space="preserve">Low </w:t>
            </w:r>
          </w:p>
        </w:tc>
        <w:tc>
          <w:tcPr>
            <w:tcW w:w="1102" w:type="pct"/>
            <w:gridSpan w:val="2"/>
            <w:tcBorders>
              <w:left w:val="nil"/>
              <w:right w:val="nil"/>
            </w:tcBorders>
          </w:tcPr>
          <w:p w:rsidR="003F789A" w:rsidRPr="001C42D8" w:rsidRDefault="003F789A" w:rsidP="001C42D8">
            <w:pPr>
              <w:jc w:val="left"/>
              <w:rPr>
                <w:b/>
                <w:sz w:val="18"/>
                <w:szCs w:val="18"/>
              </w:rPr>
            </w:pPr>
            <w:r w:rsidRPr="001C42D8">
              <w:rPr>
                <w:b/>
                <w:sz w:val="18"/>
                <w:szCs w:val="18"/>
              </w:rPr>
              <w:t>Medium</w:t>
            </w:r>
          </w:p>
        </w:tc>
        <w:tc>
          <w:tcPr>
            <w:tcW w:w="1229" w:type="pct"/>
            <w:gridSpan w:val="2"/>
            <w:tcBorders>
              <w:left w:val="nil"/>
              <w:right w:val="nil"/>
            </w:tcBorders>
          </w:tcPr>
          <w:p w:rsidR="003F789A" w:rsidRPr="001C42D8" w:rsidRDefault="003F789A" w:rsidP="001C42D8">
            <w:pPr>
              <w:jc w:val="left"/>
              <w:rPr>
                <w:b/>
                <w:sz w:val="18"/>
                <w:szCs w:val="18"/>
              </w:rPr>
            </w:pPr>
            <w:r w:rsidRPr="001C42D8">
              <w:rPr>
                <w:b/>
                <w:sz w:val="18"/>
                <w:szCs w:val="18"/>
              </w:rPr>
              <w:t xml:space="preserve">High </w:t>
            </w:r>
          </w:p>
        </w:tc>
      </w:tr>
      <w:tr w:rsidR="003F789A" w:rsidRPr="001C42D8" w:rsidTr="008C28CE">
        <w:tc>
          <w:tcPr>
            <w:tcW w:w="1157" w:type="pct"/>
            <w:tcBorders>
              <w:left w:val="nil"/>
              <w:right w:val="nil"/>
            </w:tcBorders>
          </w:tcPr>
          <w:p w:rsidR="003F789A" w:rsidRPr="001C42D8" w:rsidRDefault="003F789A" w:rsidP="001C42D8">
            <w:pPr>
              <w:jc w:val="left"/>
              <w:rPr>
                <w:sz w:val="18"/>
                <w:szCs w:val="18"/>
              </w:rPr>
            </w:pPr>
          </w:p>
        </w:tc>
        <w:tc>
          <w:tcPr>
            <w:tcW w:w="488" w:type="pct"/>
            <w:tcBorders>
              <w:left w:val="nil"/>
              <w:right w:val="nil"/>
            </w:tcBorders>
          </w:tcPr>
          <w:p w:rsidR="003F789A" w:rsidRPr="001C42D8" w:rsidRDefault="003F789A" w:rsidP="001C42D8">
            <w:pPr>
              <w:jc w:val="left"/>
              <w:rPr>
                <w:i/>
                <w:sz w:val="18"/>
                <w:szCs w:val="18"/>
              </w:rPr>
            </w:pPr>
            <w:r w:rsidRPr="001C42D8">
              <w:rPr>
                <w:i/>
                <w:sz w:val="18"/>
                <w:szCs w:val="18"/>
              </w:rPr>
              <w:t>Spatial data</w:t>
            </w:r>
          </w:p>
        </w:tc>
        <w:tc>
          <w:tcPr>
            <w:tcW w:w="1024" w:type="pct"/>
            <w:tcBorders>
              <w:left w:val="nil"/>
              <w:right w:val="nil"/>
            </w:tcBorders>
          </w:tcPr>
          <w:p w:rsidR="003F789A" w:rsidRPr="001C42D8" w:rsidRDefault="003F789A" w:rsidP="001C42D8">
            <w:pPr>
              <w:jc w:val="left"/>
              <w:rPr>
                <w:i/>
                <w:sz w:val="18"/>
                <w:szCs w:val="18"/>
              </w:rPr>
            </w:pPr>
            <w:r w:rsidRPr="001C42D8">
              <w:rPr>
                <w:i/>
                <w:sz w:val="18"/>
                <w:szCs w:val="18"/>
              </w:rPr>
              <w:t>Visualization</w:t>
            </w:r>
          </w:p>
        </w:tc>
        <w:tc>
          <w:tcPr>
            <w:tcW w:w="503" w:type="pct"/>
            <w:tcBorders>
              <w:left w:val="nil"/>
              <w:right w:val="nil"/>
            </w:tcBorders>
          </w:tcPr>
          <w:p w:rsidR="003F789A" w:rsidRPr="001C42D8" w:rsidRDefault="003F789A" w:rsidP="001C42D8">
            <w:pPr>
              <w:jc w:val="left"/>
              <w:rPr>
                <w:i/>
                <w:sz w:val="18"/>
                <w:szCs w:val="18"/>
              </w:rPr>
            </w:pPr>
            <w:r w:rsidRPr="001C42D8">
              <w:rPr>
                <w:i/>
                <w:sz w:val="18"/>
                <w:szCs w:val="18"/>
              </w:rPr>
              <w:t>Spatial data</w:t>
            </w:r>
          </w:p>
        </w:tc>
        <w:tc>
          <w:tcPr>
            <w:tcW w:w="599" w:type="pct"/>
            <w:tcBorders>
              <w:left w:val="nil"/>
              <w:right w:val="nil"/>
            </w:tcBorders>
          </w:tcPr>
          <w:p w:rsidR="003F789A" w:rsidRPr="001C42D8" w:rsidRDefault="003F789A" w:rsidP="001C42D8">
            <w:pPr>
              <w:jc w:val="left"/>
              <w:rPr>
                <w:i/>
                <w:sz w:val="18"/>
                <w:szCs w:val="18"/>
              </w:rPr>
            </w:pPr>
            <w:r w:rsidRPr="001C42D8">
              <w:rPr>
                <w:i/>
                <w:sz w:val="18"/>
                <w:szCs w:val="18"/>
              </w:rPr>
              <w:t>Visualization</w:t>
            </w:r>
          </w:p>
        </w:tc>
        <w:tc>
          <w:tcPr>
            <w:tcW w:w="506" w:type="pct"/>
            <w:tcBorders>
              <w:left w:val="nil"/>
              <w:right w:val="nil"/>
            </w:tcBorders>
          </w:tcPr>
          <w:p w:rsidR="003F789A" w:rsidRPr="001C42D8" w:rsidRDefault="003F789A" w:rsidP="001C42D8">
            <w:pPr>
              <w:jc w:val="left"/>
              <w:rPr>
                <w:i/>
                <w:sz w:val="18"/>
                <w:szCs w:val="18"/>
              </w:rPr>
            </w:pPr>
            <w:r w:rsidRPr="001C42D8">
              <w:rPr>
                <w:i/>
                <w:sz w:val="18"/>
                <w:szCs w:val="18"/>
              </w:rPr>
              <w:t>Spatial data</w:t>
            </w:r>
          </w:p>
        </w:tc>
        <w:tc>
          <w:tcPr>
            <w:tcW w:w="722" w:type="pct"/>
            <w:tcBorders>
              <w:left w:val="nil"/>
              <w:right w:val="nil"/>
            </w:tcBorders>
          </w:tcPr>
          <w:p w:rsidR="003F789A" w:rsidRPr="001C42D8" w:rsidRDefault="003F789A" w:rsidP="001C42D8">
            <w:pPr>
              <w:jc w:val="left"/>
              <w:rPr>
                <w:i/>
                <w:sz w:val="18"/>
                <w:szCs w:val="18"/>
              </w:rPr>
            </w:pPr>
            <w:r w:rsidRPr="001C42D8">
              <w:rPr>
                <w:i/>
                <w:sz w:val="18"/>
                <w:szCs w:val="18"/>
              </w:rPr>
              <w:t>Visualization</w:t>
            </w:r>
          </w:p>
        </w:tc>
      </w:tr>
      <w:tr w:rsidR="003F789A" w:rsidRPr="001C42D8" w:rsidTr="008C28CE">
        <w:tc>
          <w:tcPr>
            <w:tcW w:w="1157" w:type="pct"/>
            <w:tcBorders>
              <w:left w:val="nil"/>
              <w:bottom w:val="nil"/>
              <w:right w:val="nil"/>
            </w:tcBorders>
          </w:tcPr>
          <w:p w:rsidR="003F789A" w:rsidRPr="001C42D8" w:rsidRDefault="003F789A" w:rsidP="001C42D8">
            <w:pPr>
              <w:jc w:val="left"/>
              <w:rPr>
                <w:sz w:val="18"/>
                <w:szCs w:val="18"/>
              </w:rPr>
            </w:pPr>
            <w:r w:rsidRPr="001C42D8">
              <w:rPr>
                <w:sz w:val="18"/>
                <w:szCs w:val="18"/>
              </w:rPr>
              <w:t>Presence of Livestock</w:t>
            </w:r>
          </w:p>
        </w:tc>
        <w:tc>
          <w:tcPr>
            <w:tcW w:w="488" w:type="pct"/>
            <w:tcBorders>
              <w:left w:val="nil"/>
              <w:bottom w:val="nil"/>
              <w:right w:val="nil"/>
            </w:tcBorders>
          </w:tcPr>
          <w:p w:rsidR="003F789A" w:rsidRPr="001C42D8" w:rsidRDefault="003F789A" w:rsidP="001C42D8">
            <w:pPr>
              <w:jc w:val="left"/>
              <w:rPr>
                <w:sz w:val="18"/>
                <w:szCs w:val="18"/>
              </w:rPr>
            </w:pPr>
            <w:r w:rsidRPr="001C42D8">
              <w:rPr>
                <w:sz w:val="18"/>
                <w:szCs w:val="18"/>
              </w:rPr>
              <w:t>&lt; 0.5</w:t>
            </w:r>
          </w:p>
        </w:tc>
        <w:tc>
          <w:tcPr>
            <w:tcW w:w="1024" w:type="pct"/>
            <w:tcBorders>
              <w:left w:val="nil"/>
              <w:bottom w:val="nil"/>
              <w:right w:val="nil"/>
            </w:tcBorders>
          </w:tcPr>
          <w:p w:rsidR="003F789A" w:rsidRPr="001C42D8" w:rsidRDefault="003F789A" w:rsidP="001C42D8">
            <w:pPr>
              <w:jc w:val="left"/>
              <w:rPr>
                <w:sz w:val="18"/>
                <w:szCs w:val="18"/>
              </w:rPr>
            </w:pPr>
            <w:r w:rsidRPr="001C42D8">
              <w:rPr>
                <w:sz w:val="18"/>
                <w:szCs w:val="18"/>
              </w:rPr>
              <w:t>Livestock is absent</w:t>
            </w:r>
          </w:p>
        </w:tc>
        <w:tc>
          <w:tcPr>
            <w:tcW w:w="503" w:type="pct"/>
            <w:tcBorders>
              <w:left w:val="nil"/>
              <w:bottom w:val="nil"/>
              <w:right w:val="nil"/>
            </w:tcBorders>
          </w:tcPr>
          <w:p w:rsidR="003F789A" w:rsidRPr="001C42D8" w:rsidRDefault="003F789A" w:rsidP="001C42D8">
            <w:pPr>
              <w:jc w:val="left"/>
              <w:rPr>
                <w:sz w:val="18"/>
                <w:szCs w:val="18"/>
              </w:rPr>
            </w:pPr>
            <w:r w:rsidRPr="001C42D8">
              <w:rPr>
                <w:sz w:val="18"/>
                <w:szCs w:val="18"/>
              </w:rPr>
              <w:t>-</w:t>
            </w:r>
          </w:p>
        </w:tc>
        <w:tc>
          <w:tcPr>
            <w:tcW w:w="599" w:type="pct"/>
            <w:tcBorders>
              <w:left w:val="nil"/>
              <w:bottom w:val="nil"/>
              <w:right w:val="nil"/>
            </w:tcBorders>
          </w:tcPr>
          <w:p w:rsidR="003F789A" w:rsidRPr="001C42D8" w:rsidRDefault="003F789A" w:rsidP="001C42D8">
            <w:pPr>
              <w:jc w:val="left"/>
              <w:rPr>
                <w:sz w:val="18"/>
                <w:szCs w:val="18"/>
              </w:rPr>
            </w:pPr>
            <w:r w:rsidRPr="001C42D8">
              <w:rPr>
                <w:sz w:val="18"/>
                <w:szCs w:val="18"/>
              </w:rPr>
              <w:t>-</w:t>
            </w:r>
          </w:p>
        </w:tc>
        <w:tc>
          <w:tcPr>
            <w:tcW w:w="506" w:type="pct"/>
            <w:tcBorders>
              <w:left w:val="nil"/>
              <w:bottom w:val="nil"/>
              <w:right w:val="nil"/>
            </w:tcBorders>
          </w:tcPr>
          <w:p w:rsidR="003F789A" w:rsidRPr="001C42D8" w:rsidRDefault="003F789A" w:rsidP="001C42D8">
            <w:pPr>
              <w:jc w:val="left"/>
              <w:rPr>
                <w:sz w:val="18"/>
                <w:szCs w:val="18"/>
              </w:rPr>
            </w:pPr>
            <w:r w:rsidRPr="001C42D8">
              <w:rPr>
                <w:sz w:val="18"/>
                <w:szCs w:val="18"/>
              </w:rPr>
              <w:t>&gt; 0.5</w:t>
            </w:r>
          </w:p>
        </w:tc>
        <w:tc>
          <w:tcPr>
            <w:tcW w:w="722" w:type="pct"/>
            <w:tcBorders>
              <w:left w:val="nil"/>
              <w:bottom w:val="nil"/>
              <w:right w:val="nil"/>
            </w:tcBorders>
          </w:tcPr>
          <w:p w:rsidR="003F789A" w:rsidRPr="001C42D8" w:rsidRDefault="003F789A" w:rsidP="001C42D8">
            <w:pPr>
              <w:jc w:val="left"/>
              <w:rPr>
                <w:sz w:val="18"/>
                <w:szCs w:val="18"/>
              </w:rPr>
            </w:pPr>
            <w:r w:rsidRPr="001C42D8">
              <w:rPr>
                <w:sz w:val="18"/>
                <w:szCs w:val="18"/>
              </w:rPr>
              <w:t>Livestock is present</w:t>
            </w:r>
          </w:p>
        </w:tc>
      </w:tr>
      <w:tr w:rsidR="003F789A" w:rsidRPr="001C42D8" w:rsidTr="008C28CE">
        <w:tc>
          <w:tcPr>
            <w:tcW w:w="1157"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Maize/grassland ratio</w:t>
            </w:r>
          </w:p>
        </w:tc>
        <w:tc>
          <w:tcPr>
            <w:tcW w:w="488"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&lt; 0.1</w:t>
            </w:r>
          </w:p>
        </w:tc>
        <w:tc>
          <w:tcPr>
            <w:tcW w:w="1024"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≈0.1 (visualized in background)</w:t>
            </w:r>
          </w:p>
        </w:tc>
        <w:tc>
          <w:tcPr>
            <w:tcW w:w="503"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0.1-1</w:t>
            </w:r>
          </w:p>
        </w:tc>
        <w:tc>
          <w:tcPr>
            <w:tcW w:w="599"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≈0.4</w:t>
            </w:r>
          </w:p>
        </w:tc>
        <w:tc>
          <w:tcPr>
            <w:tcW w:w="506"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&gt; 1</w:t>
            </w:r>
          </w:p>
        </w:tc>
        <w:tc>
          <w:tcPr>
            <w:tcW w:w="722"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≈1.1</w:t>
            </w:r>
          </w:p>
        </w:tc>
      </w:tr>
      <w:tr w:rsidR="003F789A" w:rsidRPr="001C42D8" w:rsidTr="008C28CE">
        <w:tc>
          <w:tcPr>
            <w:tcW w:w="1157"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Prevalence of hedgerows and tree lines</w:t>
            </w:r>
          </w:p>
        </w:tc>
        <w:tc>
          <w:tcPr>
            <w:tcW w:w="488"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&lt; 440m</w:t>
            </w:r>
          </w:p>
        </w:tc>
        <w:tc>
          <w:tcPr>
            <w:tcW w:w="1024"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≈0m</w:t>
            </w:r>
          </w:p>
        </w:tc>
        <w:tc>
          <w:tcPr>
            <w:tcW w:w="503"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440-1440m</w:t>
            </w:r>
          </w:p>
        </w:tc>
        <w:tc>
          <w:tcPr>
            <w:tcW w:w="599"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≈500m</w:t>
            </w:r>
          </w:p>
        </w:tc>
        <w:tc>
          <w:tcPr>
            <w:tcW w:w="506"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&gt;1440m</w:t>
            </w:r>
          </w:p>
        </w:tc>
        <w:tc>
          <w:tcPr>
            <w:tcW w:w="722" w:type="pct"/>
            <w:tcBorders>
              <w:top w:val="nil"/>
              <w:left w:val="nil"/>
              <w:bottom w:val="nil"/>
              <w:right w:val="nil"/>
            </w:tcBorders>
          </w:tcPr>
          <w:p w:rsidR="003F789A" w:rsidRPr="001C42D8" w:rsidRDefault="003F789A" w:rsidP="001C42D8">
            <w:pPr>
              <w:jc w:val="left"/>
              <w:rPr>
                <w:sz w:val="18"/>
                <w:szCs w:val="18"/>
              </w:rPr>
            </w:pPr>
            <w:r w:rsidRPr="001C42D8">
              <w:rPr>
                <w:sz w:val="18"/>
                <w:szCs w:val="18"/>
              </w:rPr>
              <w:t>≈1000m</w:t>
            </w:r>
          </w:p>
        </w:tc>
      </w:tr>
      <w:tr w:rsidR="003F789A" w:rsidRPr="001C42D8" w:rsidTr="008C28CE">
        <w:tc>
          <w:tcPr>
            <w:tcW w:w="1157" w:type="pct"/>
            <w:tcBorders>
              <w:top w:val="nil"/>
              <w:left w:val="nil"/>
              <w:right w:val="nil"/>
            </w:tcBorders>
          </w:tcPr>
          <w:p w:rsidR="003F789A" w:rsidRPr="001C42D8" w:rsidRDefault="003F789A" w:rsidP="001C42D8">
            <w:pPr>
              <w:jc w:val="left"/>
              <w:rPr>
                <w:sz w:val="18"/>
                <w:szCs w:val="18"/>
              </w:rPr>
            </w:pPr>
            <w:r w:rsidRPr="001C42D8">
              <w:rPr>
                <w:sz w:val="18"/>
                <w:szCs w:val="18"/>
              </w:rPr>
              <w:t>Prevalence of forest patches</w:t>
            </w:r>
          </w:p>
        </w:tc>
        <w:tc>
          <w:tcPr>
            <w:tcW w:w="488" w:type="pct"/>
            <w:tcBorders>
              <w:top w:val="nil"/>
              <w:left w:val="nil"/>
              <w:right w:val="nil"/>
            </w:tcBorders>
          </w:tcPr>
          <w:p w:rsidR="003F789A" w:rsidRPr="001C42D8" w:rsidRDefault="003F789A" w:rsidP="001C42D8">
            <w:pPr>
              <w:jc w:val="left"/>
              <w:rPr>
                <w:sz w:val="18"/>
                <w:szCs w:val="18"/>
              </w:rPr>
            </w:pPr>
            <w:r w:rsidRPr="001C42D8">
              <w:rPr>
                <w:sz w:val="18"/>
                <w:szCs w:val="18"/>
              </w:rPr>
              <w:t>&lt; 4 patches</w:t>
            </w:r>
          </w:p>
        </w:tc>
        <w:tc>
          <w:tcPr>
            <w:tcW w:w="1024" w:type="pct"/>
            <w:tcBorders>
              <w:top w:val="nil"/>
              <w:left w:val="nil"/>
              <w:right w:val="nil"/>
            </w:tcBorders>
          </w:tcPr>
          <w:p w:rsidR="003F789A" w:rsidRPr="001C42D8" w:rsidRDefault="003F789A" w:rsidP="001C42D8">
            <w:pPr>
              <w:jc w:val="left"/>
              <w:rPr>
                <w:sz w:val="18"/>
                <w:szCs w:val="18"/>
              </w:rPr>
            </w:pPr>
            <w:r w:rsidRPr="001C42D8">
              <w:rPr>
                <w:sz w:val="18"/>
                <w:szCs w:val="18"/>
              </w:rPr>
              <w:t>2 patches (visualized in background)</w:t>
            </w:r>
          </w:p>
        </w:tc>
        <w:tc>
          <w:tcPr>
            <w:tcW w:w="503" w:type="pct"/>
            <w:tcBorders>
              <w:top w:val="nil"/>
              <w:left w:val="nil"/>
              <w:right w:val="nil"/>
            </w:tcBorders>
          </w:tcPr>
          <w:p w:rsidR="003F789A" w:rsidRPr="001C42D8" w:rsidRDefault="003F789A" w:rsidP="001C42D8">
            <w:pPr>
              <w:jc w:val="left"/>
              <w:rPr>
                <w:sz w:val="18"/>
                <w:szCs w:val="18"/>
              </w:rPr>
            </w:pPr>
            <w:r w:rsidRPr="001C42D8">
              <w:rPr>
                <w:sz w:val="18"/>
                <w:szCs w:val="18"/>
              </w:rPr>
              <w:t>4-10 patches</w:t>
            </w:r>
          </w:p>
        </w:tc>
        <w:tc>
          <w:tcPr>
            <w:tcW w:w="599" w:type="pct"/>
            <w:tcBorders>
              <w:top w:val="nil"/>
              <w:left w:val="nil"/>
              <w:right w:val="nil"/>
            </w:tcBorders>
          </w:tcPr>
          <w:p w:rsidR="003F789A" w:rsidRPr="001C42D8" w:rsidRDefault="003F789A" w:rsidP="001C42D8">
            <w:pPr>
              <w:jc w:val="left"/>
              <w:rPr>
                <w:sz w:val="18"/>
                <w:szCs w:val="18"/>
              </w:rPr>
            </w:pPr>
            <w:r w:rsidRPr="001C42D8">
              <w:rPr>
                <w:sz w:val="18"/>
                <w:szCs w:val="18"/>
              </w:rPr>
              <w:t>4 patches</w:t>
            </w:r>
          </w:p>
        </w:tc>
        <w:tc>
          <w:tcPr>
            <w:tcW w:w="506" w:type="pct"/>
            <w:tcBorders>
              <w:top w:val="nil"/>
              <w:left w:val="nil"/>
              <w:right w:val="nil"/>
            </w:tcBorders>
          </w:tcPr>
          <w:p w:rsidR="003F789A" w:rsidRPr="001C42D8" w:rsidRDefault="003F789A" w:rsidP="001C42D8">
            <w:pPr>
              <w:jc w:val="left"/>
              <w:rPr>
                <w:sz w:val="18"/>
                <w:szCs w:val="18"/>
              </w:rPr>
            </w:pPr>
            <w:r w:rsidRPr="001C42D8">
              <w:rPr>
                <w:sz w:val="18"/>
                <w:szCs w:val="18"/>
              </w:rPr>
              <w:t>&gt; 10 patches</w:t>
            </w:r>
          </w:p>
        </w:tc>
        <w:tc>
          <w:tcPr>
            <w:tcW w:w="722" w:type="pct"/>
            <w:tcBorders>
              <w:top w:val="nil"/>
              <w:left w:val="nil"/>
              <w:right w:val="nil"/>
            </w:tcBorders>
          </w:tcPr>
          <w:p w:rsidR="003F789A" w:rsidRPr="001C42D8" w:rsidRDefault="003F789A" w:rsidP="001C42D8">
            <w:pPr>
              <w:jc w:val="left"/>
              <w:rPr>
                <w:sz w:val="18"/>
                <w:szCs w:val="18"/>
              </w:rPr>
            </w:pPr>
            <w:r w:rsidRPr="001C42D8">
              <w:rPr>
                <w:sz w:val="18"/>
                <w:szCs w:val="18"/>
              </w:rPr>
              <w:t>6 patches</w:t>
            </w:r>
          </w:p>
        </w:tc>
      </w:tr>
    </w:tbl>
    <w:p w:rsidR="003F789A" w:rsidRPr="001C42D8" w:rsidRDefault="003F789A" w:rsidP="001C42D8">
      <w:pPr>
        <w:rPr>
          <w:sz w:val="20"/>
        </w:rPr>
      </w:pPr>
      <w:r w:rsidRPr="001C42D8">
        <w:rPr>
          <w:sz w:val="20"/>
        </w:rPr>
        <w:t xml:space="preserve"> </w:t>
      </w:r>
    </w:p>
    <w:p w:rsidR="003F789A" w:rsidRPr="001C42D8" w:rsidRDefault="008C4819" w:rsidP="001C42D8">
      <w:pPr>
        <w:rPr>
          <w:noProof/>
          <w:sz w:val="20"/>
          <w:lang w:val="en-IE" w:eastAsia="en-IE"/>
        </w:rPr>
      </w:pPr>
      <w:bookmarkStart w:id="121" w:name="_Toc436915625"/>
      <w:r>
        <w:rPr>
          <w:noProof/>
          <w:sz w:val="20"/>
          <w:lang w:val="en-IE" w:eastAsia="en-IE"/>
        </w:rPr>
        <w:drawing>
          <wp:inline distT="0" distB="0" distL="0" distR="0">
            <wp:extent cx="5899150" cy="2620645"/>
            <wp:effectExtent l="0" t="0" r="6350" b="8255"/>
            <wp:docPr id="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6">
                      <a:extLst>
                        <a:ext uri="{28A0092B-C50C-407E-A947-70E740481C1C}">
                          <a14:useLocalDpi xmlns:a14="http://schemas.microsoft.com/office/drawing/2010/main" val="0"/>
                        </a:ext>
                      </a:extLst>
                    </a:blip>
                    <a:srcRect l="726" t="1852" r="679" b="1852"/>
                    <a:stretch>
                      <a:fillRect/>
                    </a:stretch>
                  </pic:blipFill>
                  <pic:spPr bwMode="auto">
                    <a:xfrm>
                      <a:off x="0" y="0"/>
                      <a:ext cx="5899150" cy="2620645"/>
                    </a:xfrm>
                    <a:prstGeom prst="rect">
                      <a:avLst/>
                    </a:prstGeom>
                    <a:noFill/>
                    <a:ln>
                      <a:noFill/>
                    </a:ln>
                  </pic:spPr>
                </pic:pic>
              </a:graphicData>
            </a:graphic>
          </wp:inline>
        </w:drawing>
      </w:r>
      <w:bookmarkEnd w:id="121"/>
    </w:p>
    <w:p w:rsidR="003F789A" w:rsidRPr="001C42D8" w:rsidRDefault="003F789A" w:rsidP="001C42D8">
      <w:pPr>
        <w:rPr>
          <w:sz w:val="20"/>
        </w:rPr>
      </w:pPr>
      <w:r w:rsidRPr="001C42D8">
        <w:rPr>
          <w:sz w:val="20"/>
        </w:rPr>
        <w:t xml:space="preserve">Figure 1: Three landscape alternatives that were included in the choice experiment. The photographs below were presented to the respondents. The pictures above show a map of the photographed area with graphical illustrations of the manipulated landscape attributes. </w:t>
      </w:r>
    </w:p>
    <w:p w:rsidR="003F789A" w:rsidRDefault="003F789A" w:rsidP="008C28CE">
      <w:pPr>
        <w:keepNext/>
        <w:rPr>
          <w:b/>
          <w:sz w:val="20"/>
        </w:rPr>
      </w:pPr>
    </w:p>
    <w:p w:rsidR="003F789A" w:rsidRPr="008C28CE" w:rsidRDefault="003F789A" w:rsidP="008C28CE">
      <w:pPr>
        <w:keepNext/>
        <w:rPr>
          <w:b/>
          <w:sz w:val="20"/>
        </w:rPr>
      </w:pPr>
      <w:r w:rsidRPr="008C28CE">
        <w:rPr>
          <w:b/>
          <w:sz w:val="20"/>
        </w:rPr>
        <w:t>Mapping aesthetic values</w:t>
      </w:r>
    </w:p>
    <w:p w:rsidR="003F789A" w:rsidRPr="004B458C" w:rsidRDefault="003F789A" w:rsidP="008C28CE">
      <w:pPr>
        <w:keepNext/>
        <w:spacing w:line="360" w:lineRule="auto"/>
        <w:rPr>
          <w:sz w:val="20"/>
        </w:rPr>
      </w:pPr>
      <w:r w:rsidRPr="004B458C">
        <w:rPr>
          <w:sz w:val="20"/>
        </w:rPr>
        <w:t xml:space="preserve">Using the choice model, we apply a market share simulation exercise </w:t>
      </w:r>
      <w:r w:rsidRPr="004B458C">
        <w:rPr>
          <w:sz w:val="20"/>
        </w:rPr>
        <w:fldChar w:fldCharType="begin" w:fldLock="1"/>
      </w:r>
      <w:r w:rsidRPr="004B458C">
        <w:rPr>
          <w:sz w:val="20"/>
        </w:rPr>
        <w:instrText>ADDIN CSL_CITATION { "citationItems" : [ { "id" : "ITEM-1", "itemData" : { "ISBN" : "0 511 01173 3", "author" : [ { "dropping-particle" : "", "family" : "Louviere", "given" : "Jordan J", "non-dropping-particle" : "", "parse-names" : false, "suffix" : "" }, { "dropping-particle" : "", "family" : "Hensher", "given" : "David A", "non-dropping-particle" : "", "parse-names" : false, "suffix" : "" }, { "dropping-particle" : "", "family" : "Swait", "given" : "Joffre D", "non-dropping-particle" : "", "parse-names" : false, "suffix" : "" } ], "id" : "ITEM-1", "issued" : { "date-parts" : [ [ "2003" ] ] }, "number-of-pages" : "402", "publisher" : "Cambridge University Press", "publisher-place" : "Cambridge", "title" : "Stated Choice Methods: Analysis and Applications", "type" : "book" }, "uris" : [ "http://www.mendeley.com/documents/?uuid=852124de-1795-4c21-9f2e-2ad7c1728fb9" ] } ], "mendeley" : { "formattedCitation" : "(Louviere et al., 2003)", "plainTextFormattedCitation" : "(Louviere et al., 2003)", "previouslyFormattedCitation" : "(Louviere et al., 2003)" }, "properties" : { "noteIndex" : 0 }, "schema" : "https://github.com/citation-style-language/schema/raw/master/csl-citation.json" }</w:instrText>
      </w:r>
      <w:r w:rsidRPr="004B458C">
        <w:rPr>
          <w:sz w:val="20"/>
        </w:rPr>
        <w:fldChar w:fldCharType="separate"/>
      </w:r>
      <w:r w:rsidRPr="004B458C">
        <w:rPr>
          <w:noProof/>
          <w:sz w:val="20"/>
        </w:rPr>
        <w:t>(Louviere et al., 2003)</w:t>
      </w:r>
      <w:r w:rsidRPr="004B458C">
        <w:rPr>
          <w:sz w:val="20"/>
        </w:rPr>
        <w:fldChar w:fldCharType="end"/>
      </w:r>
      <w:r w:rsidRPr="004B458C">
        <w:rPr>
          <w:sz w:val="20"/>
        </w:rPr>
        <w:t xml:space="preserve"> to assess the relative preferences for all possible landscape alternatives that occur in the case study area. These market shares describe the value (i.e. utility) of a landscape alternative relative to all other landscape alternatives in the experiment. For this, we use the attribute level parameters from the conditional logit model (Table 2) and calculate the predicted probabilities for all combinations of landscape attributes in the case study area. The predicted probabilities describe the probability that a </w:t>
      </w:r>
      <w:r w:rsidRPr="004B458C">
        <w:rPr>
          <w:sz w:val="20"/>
        </w:rPr>
        <w:lastRenderedPageBreak/>
        <w:t xml:space="preserve">respondent chooses a landscape alternative out of the 54 (2*3*3*3) possible combinations of landscape attributes, and thus, represents the part-worth utility or relative aesthetic value of that particular landscape alternative. The probability scores were subsequently linked to a combined map of all landscape attribute levels, which indicates for each 25*25m resolution grid cell the combination of landscape attribute levels that occur in their </w:t>
      </w:r>
      <w:proofErr w:type="spellStart"/>
      <w:r w:rsidRPr="004B458C">
        <w:rPr>
          <w:sz w:val="20"/>
        </w:rPr>
        <w:t>neighborhood</w:t>
      </w:r>
      <w:proofErr w:type="spellEnd"/>
      <w:r w:rsidRPr="004B458C">
        <w:rPr>
          <w:sz w:val="20"/>
        </w:rPr>
        <w:t>. This results in the final map of relative visual landscape preferences as a proxy for the aesthetic service provision in the area.</w:t>
      </w:r>
    </w:p>
    <w:p w:rsidR="003F789A" w:rsidRPr="004B458C" w:rsidRDefault="003F789A" w:rsidP="008C28CE">
      <w:pPr>
        <w:pStyle w:val="Caption"/>
        <w:keepNext/>
        <w:spacing w:after="0"/>
        <w:rPr>
          <w:color w:val="auto"/>
        </w:rPr>
      </w:pPr>
      <w:r w:rsidRPr="004B458C">
        <w:rPr>
          <w:color w:val="auto"/>
        </w:rPr>
        <w:t xml:space="preserve">Table 2: Output of the conditional logit choice model.    </w:t>
      </w:r>
    </w:p>
    <w:tbl>
      <w:tblPr>
        <w:tblpPr w:leftFromText="141" w:rightFromText="141" w:vertAnchor="text" w:horzAnchor="margin"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593"/>
        <w:gridCol w:w="2281"/>
        <w:gridCol w:w="1133"/>
        <w:gridCol w:w="1133"/>
      </w:tblGrid>
      <w:tr w:rsidR="003F789A" w:rsidRPr="004B458C" w:rsidTr="008C28CE">
        <w:tc>
          <w:tcPr>
            <w:tcW w:w="2512" w:type="pct"/>
            <w:tcBorders>
              <w:left w:val="nil"/>
              <w:right w:val="nil"/>
            </w:tcBorders>
          </w:tcPr>
          <w:p w:rsidR="003F789A" w:rsidRPr="004B458C" w:rsidRDefault="003F789A" w:rsidP="008C28CE">
            <w:pPr>
              <w:spacing w:after="0" w:line="360" w:lineRule="auto"/>
              <w:rPr>
                <w:sz w:val="20"/>
                <w:szCs w:val="18"/>
              </w:rPr>
            </w:pPr>
            <w:r w:rsidRPr="004B458C">
              <w:rPr>
                <w:sz w:val="20"/>
                <w:szCs w:val="18"/>
              </w:rPr>
              <w:t>Attribute</w:t>
            </w:r>
          </w:p>
        </w:tc>
        <w:tc>
          <w:tcPr>
            <w:tcW w:w="1248" w:type="pct"/>
            <w:tcBorders>
              <w:left w:val="nil"/>
              <w:right w:val="nil"/>
            </w:tcBorders>
          </w:tcPr>
          <w:p w:rsidR="003F789A" w:rsidRPr="004B458C" w:rsidRDefault="003F789A" w:rsidP="008C28CE">
            <w:pPr>
              <w:spacing w:after="0" w:line="360" w:lineRule="auto"/>
              <w:jc w:val="center"/>
              <w:rPr>
                <w:sz w:val="20"/>
                <w:szCs w:val="18"/>
              </w:rPr>
            </w:pPr>
            <w:r w:rsidRPr="004B458C">
              <w:rPr>
                <w:sz w:val="20"/>
                <w:szCs w:val="18"/>
              </w:rPr>
              <w:t>Coefficient</w:t>
            </w:r>
          </w:p>
        </w:tc>
        <w:tc>
          <w:tcPr>
            <w:tcW w:w="620" w:type="pct"/>
            <w:tcBorders>
              <w:left w:val="nil"/>
              <w:right w:val="nil"/>
            </w:tcBorders>
          </w:tcPr>
          <w:p w:rsidR="003F789A" w:rsidRPr="004B458C" w:rsidRDefault="003F789A" w:rsidP="008C28CE">
            <w:pPr>
              <w:spacing w:after="0" w:line="360" w:lineRule="auto"/>
              <w:rPr>
                <w:sz w:val="20"/>
                <w:szCs w:val="18"/>
              </w:rPr>
            </w:pPr>
            <w:r w:rsidRPr="004B458C">
              <w:rPr>
                <w:sz w:val="20"/>
                <w:szCs w:val="18"/>
              </w:rPr>
              <w:t>std. error</w:t>
            </w:r>
          </w:p>
        </w:tc>
        <w:tc>
          <w:tcPr>
            <w:tcW w:w="620" w:type="pct"/>
            <w:tcBorders>
              <w:left w:val="nil"/>
              <w:right w:val="nil"/>
            </w:tcBorders>
          </w:tcPr>
          <w:p w:rsidR="003F789A" w:rsidRPr="004B458C" w:rsidRDefault="003F789A" w:rsidP="008C28CE">
            <w:pPr>
              <w:spacing w:after="0" w:line="360" w:lineRule="auto"/>
              <w:rPr>
                <w:i/>
                <w:sz w:val="20"/>
                <w:szCs w:val="18"/>
              </w:rPr>
            </w:pPr>
            <w:r w:rsidRPr="004B458C">
              <w:rPr>
                <w:i/>
                <w:sz w:val="20"/>
                <w:szCs w:val="18"/>
              </w:rPr>
              <w:t>p-</w:t>
            </w:r>
            <w:r w:rsidRPr="004B458C">
              <w:rPr>
                <w:sz w:val="20"/>
                <w:szCs w:val="18"/>
              </w:rPr>
              <w:t>value</w:t>
            </w:r>
          </w:p>
        </w:tc>
      </w:tr>
      <w:tr w:rsidR="003F789A" w:rsidRPr="004B458C" w:rsidTr="008C28CE">
        <w:tc>
          <w:tcPr>
            <w:tcW w:w="2512" w:type="pct"/>
            <w:tcBorders>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Presence of livestock</w:t>
            </w:r>
          </w:p>
        </w:tc>
        <w:tc>
          <w:tcPr>
            <w:tcW w:w="1248" w:type="pct"/>
            <w:tcBorders>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1.245***</w:t>
            </w:r>
          </w:p>
        </w:tc>
        <w:tc>
          <w:tcPr>
            <w:tcW w:w="620" w:type="pct"/>
            <w:tcBorders>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0.081</w:t>
            </w:r>
          </w:p>
        </w:tc>
        <w:tc>
          <w:tcPr>
            <w:tcW w:w="620" w:type="pct"/>
            <w:tcBorders>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Med maize-grassland</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.300***</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0.076</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High maize-grassland</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.612***</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0.096</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Med hedges and tree lines</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1.595***</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0.145</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High hedges and tree lines</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2.063***</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0.155</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Med forest patches</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.215**</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0.080</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0.011</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i/>
                <w:sz w:val="20"/>
                <w:szCs w:val="18"/>
              </w:rPr>
            </w:pPr>
            <w:r w:rsidRPr="004B458C">
              <w:rPr>
                <w:i/>
                <w:sz w:val="20"/>
                <w:szCs w:val="18"/>
              </w:rPr>
              <w:t>High forest patches</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.713***</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0.080</w:t>
            </w:r>
          </w:p>
        </w:tc>
        <w:tc>
          <w:tcPr>
            <w:tcW w:w="620" w:type="pct"/>
            <w:tcBorders>
              <w:top w:val="nil"/>
              <w:left w:val="nil"/>
              <w:bottom w:val="nil"/>
              <w:right w:val="nil"/>
            </w:tcBorders>
          </w:tcPr>
          <w:p w:rsidR="003F789A" w:rsidRPr="004B458C" w:rsidRDefault="003F789A" w:rsidP="008C28CE">
            <w:pPr>
              <w:spacing w:after="0" w:line="360" w:lineRule="auto"/>
              <w:jc w:val="right"/>
              <w:rPr>
                <w:sz w:val="20"/>
                <w:szCs w:val="18"/>
              </w:rPr>
            </w:pPr>
            <w:r w:rsidRPr="004B458C">
              <w:rPr>
                <w:sz w:val="20"/>
                <w:szCs w:val="18"/>
              </w:rPr>
              <w:t>0.000</w:t>
            </w: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sz w:val="20"/>
                <w:szCs w:val="18"/>
              </w:rPr>
            </w:pPr>
            <w:r w:rsidRPr="004B458C">
              <w:rPr>
                <w:sz w:val="20"/>
                <w:szCs w:val="18"/>
              </w:rPr>
              <w:t>Log-likelihood</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-1199</w:t>
            </w: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sz w:val="20"/>
                <w:szCs w:val="18"/>
              </w:rPr>
            </w:pPr>
            <w:r w:rsidRPr="004B458C">
              <w:rPr>
                <w:sz w:val="20"/>
                <w:szCs w:val="18"/>
              </w:rPr>
              <w:t>McFadden adjusted pseudo-</w:t>
            </w:r>
            <w:r w:rsidRPr="004B458C">
              <w:rPr>
                <w:i/>
                <w:sz w:val="20"/>
                <w:szCs w:val="18"/>
              </w:rPr>
              <w:t>R</w:t>
            </w:r>
            <w:r w:rsidRPr="004B458C">
              <w:rPr>
                <w:i/>
                <w:sz w:val="20"/>
                <w:szCs w:val="18"/>
                <w:vertAlign w:val="superscript"/>
              </w:rPr>
              <w:t>2</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0.28</w:t>
            </w: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r>
      <w:tr w:rsidR="003F789A" w:rsidRPr="004B458C" w:rsidTr="008C28CE">
        <w:tc>
          <w:tcPr>
            <w:tcW w:w="2512" w:type="pct"/>
            <w:tcBorders>
              <w:top w:val="nil"/>
              <w:left w:val="nil"/>
              <w:bottom w:val="nil"/>
              <w:right w:val="nil"/>
            </w:tcBorders>
          </w:tcPr>
          <w:p w:rsidR="003F789A" w:rsidRPr="004B458C" w:rsidRDefault="003F789A" w:rsidP="008C28CE">
            <w:pPr>
              <w:spacing w:after="0" w:line="360" w:lineRule="auto"/>
              <w:rPr>
                <w:sz w:val="20"/>
                <w:szCs w:val="18"/>
                <w:vertAlign w:val="superscript"/>
              </w:rPr>
            </w:pPr>
            <w:r w:rsidRPr="004B458C">
              <w:rPr>
                <w:sz w:val="20"/>
                <w:szCs w:val="18"/>
              </w:rPr>
              <w:t>N observations</w:t>
            </w:r>
          </w:p>
        </w:tc>
        <w:tc>
          <w:tcPr>
            <w:tcW w:w="1248" w:type="pct"/>
            <w:tcBorders>
              <w:top w:val="nil"/>
              <w:left w:val="nil"/>
              <w:bottom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1528</w:t>
            </w: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c>
          <w:tcPr>
            <w:tcW w:w="620" w:type="pct"/>
            <w:tcBorders>
              <w:top w:val="nil"/>
              <w:left w:val="nil"/>
              <w:bottom w:val="nil"/>
              <w:right w:val="nil"/>
            </w:tcBorders>
          </w:tcPr>
          <w:p w:rsidR="003F789A" w:rsidRPr="004B458C" w:rsidRDefault="003F789A" w:rsidP="008C28CE">
            <w:pPr>
              <w:spacing w:after="0" w:line="360" w:lineRule="auto"/>
              <w:rPr>
                <w:sz w:val="20"/>
                <w:szCs w:val="18"/>
              </w:rPr>
            </w:pPr>
          </w:p>
        </w:tc>
      </w:tr>
      <w:tr w:rsidR="003F789A" w:rsidRPr="004B458C" w:rsidTr="008C28CE">
        <w:tc>
          <w:tcPr>
            <w:tcW w:w="2512" w:type="pct"/>
            <w:tcBorders>
              <w:top w:val="nil"/>
              <w:left w:val="nil"/>
              <w:right w:val="nil"/>
            </w:tcBorders>
          </w:tcPr>
          <w:p w:rsidR="003F789A" w:rsidRPr="004B458C" w:rsidRDefault="003F789A" w:rsidP="008C28CE">
            <w:pPr>
              <w:spacing w:after="0" w:line="360" w:lineRule="auto"/>
              <w:rPr>
                <w:sz w:val="20"/>
                <w:szCs w:val="18"/>
              </w:rPr>
            </w:pPr>
            <w:r w:rsidRPr="004B458C">
              <w:rPr>
                <w:sz w:val="20"/>
                <w:szCs w:val="18"/>
              </w:rPr>
              <w:t>N individuals</w:t>
            </w:r>
          </w:p>
        </w:tc>
        <w:tc>
          <w:tcPr>
            <w:tcW w:w="1248" w:type="pct"/>
            <w:tcBorders>
              <w:top w:val="nil"/>
              <w:left w:val="nil"/>
              <w:right w:val="nil"/>
            </w:tcBorders>
          </w:tcPr>
          <w:p w:rsidR="003F789A" w:rsidRPr="004B458C" w:rsidRDefault="003F789A" w:rsidP="008C28CE">
            <w:pPr>
              <w:tabs>
                <w:tab w:val="decimal" w:leader="dot" w:pos="1026"/>
              </w:tabs>
              <w:spacing w:after="0" w:line="360" w:lineRule="auto"/>
              <w:rPr>
                <w:sz w:val="20"/>
                <w:szCs w:val="18"/>
              </w:rPr>
            </w:pPr>
            <w:r w:rsidRPr="004B458C">
              <w:rPr>
                <w:sz w:val="20"/>
                <w:szCs w:val="18"/>
              </w:rPr>
              <w:t>191</w:t>
            </w:r>
          </w:p>
        </w:tc>
        <w:tc>
          <w:tcPr>
            <w:tcW w:w="620" w:type="pct"/>
            <w:tcBorders>
              <w:top w:val="nil"/>
              <w:left w:val="nil"/>
              <w:right w:val="nil"/>
            </w:tcBorders>
          </w:tcPr>
          <w:p w:rsidR="003F789A" w:rsidRPr="004B458C" w:rsidRDefault="003F789A" w:rsidP="008C28CE">
            <w:pPr>
              <w:spacing w:after="0" w:line="360" w:lineRule="auto"/>
              <w:rPr>
                <w:sz w:val="20"/>
                <w:szCs w:val="18"/>
              </w:rPr>
            </w:pPr>
          </w:p>
        </w:tc>
        <w:tc>
          <w:tcPr>
            <w:tcW w:w="620" w:type="pct"/>
            <w:tcBorders>
              <w:top w:val="nil"/>
              <w:left w:val="nil"/>
              <w:right w:val="nil"/>
            </w:tcBorders>
          </w:tcPr>
          <w:p w:rsidR="003F789A" w:rsidRPr="004B458C" w:rsidRDefault="003F789A" w:rsidP="008C28CE">
            <w:pPr>
              <w:spacing w:after="0" w:line="360" w:lineRule="auto"/>
              <w:rPr>
                <w:sz w:val="20"/>
                <w:szCs w:val="18"/>
              </w:rPr>
            </w:pPr>
          </w:p>
        </w:tc>
      </w:tr>
      <w:tr w:rsidR="003F789A" w:rsidRPr="004B458C" w:rsidTr="008C28CE">
        <w:tc>
          <w:tcPr>
            <w:tcW w:w="5000" w:type="pct"/>
            <w:gridSpan w:val="4"/>
            <w:tcBorders>
              <w:left w:val="nil"/>
              <w:bottom w:val="nil"/>
              <w:right w:val="nil"/>
            </w:tcBorders>
          </w:tcPr>
          <w:p w:rsidR="003F789A" w:rsidRPr="004B458C" w:rsidRDefault="003F789A" w:rsidP="008C28CE">
            <w:pPr>
              <w:spacing w:after="0" w:line="360" w:lineRule="auto"/>
              <w:rPr>
                <w:sz w:val="20"/>
                <w:szCs w:val="18"/>
              </w:rPr>
            </w:pPr>
            <w:r w:rsidRPr="004B458C">
              <w:rPr>
                <w:sz w:val="20"/>
                <w:szCs w:val="18"/>
              </w:rPr>
              <w:t>***, **, * ==&gt;  Significance at 1%, 5%, 10% level</w:t>
            </w:r>
          </w:p>
        </w:tc>
      </w:tr>
    </w:tbl>
    <w:p w:rsidR="003F789A" w:rsidRDefault="003F789A" w:rsidP="008C28CE">
      <w:pPr>
        <w:pStyle w:val="Heading2"/>
        <w:numPr>
          <w:ilvl w:val="0"/>
          <w:numId w:val="0"/>
        </w:numPr>
        <w:spacing w:line="360" w:lineRule="auto"/>
        <w:rPr>
          <w:b w:val="0"/>
          <w:color w:val="333333"/>
          <w:sz w:val="20"/>
        </w:rPr>
      </w:pPr>
    </w:p>
    <w:p w:rsidR="003F789A" w:rsidRPr="008C28CE" w:rsidRDefault="003F789A" w:rsidP="008C28CE">
      <w:pPr>
        <w:rPr>
          <w:b/>
          <w:sz w:val="20"/>
        </w:rPr>
      </w:pPr>
      <w:r w:rsidRPr="008C28CE">
        <w:rPr>
          <w:b/>
          <w:sz w:val="20"/>
        </w:rPr>
        <w:t>Comparison of mapping methods</w:t>
      </w:r>
    </w:p>
    <w:p w:rsidR="003F789A" w:rsidRDefault="003F789A" w:rsidP="008C28CE">
      <w:pPr>
        <w:spacing w:line="360" w:lineRule="auto"/>
        <w:rPr>
          <w:sz w:val="20"/>
        </w:rPr>
      </w:pPr>
      <w:r w:rsidRPr="004B458C">
        <w:rPr>
          <w:sz w:val="20"/>
        </w:rPr>
        <w:t xml:space="preserve">We compare the results of our method to existing landscape scale mapping approaches for aesthetic values. Two of these methods are generic feature mapping approaches using primary preference data at different scales of landscape evaluation that were developed by </w:t>
      </w:r>
      <w:r w:rsidRPr="004B458C">
        <w:rPr>
          <w:sz w:val="20"/>
        </w:rPr>
        <w:fldChar w:fldCharType="begin" w:fldLock="1"/>
      </w:r>
      <w:r w:rsidRPr="004B458C">
        <w:rPr>
          <w:sz w:val="20"/>
        </w:rPr>
        <w:instrText>ADDIN CSL_CITATION { "citationItems" : [ { "id" : "ITEM-1",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"ITEM-1",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"(van Berkel and Verburg, 2014)", "manualFormatting" : "van Berkel and Verburg (2014)", "plainTextFormattedCitation" : "(van Berkel and Verburg, 2014)", "previouslyFormattedCitation" : "(van Berkel and Verburg, 2014)" }, "properties" : { "noteIndex" : 0 }, "schema" : "https://github.com/citation-style-language/schema/raw/master/csl-citation.json" }</w:instrText>
      </w:r>
      <w:r w:rsidRPr="004B458C">
        <w:rPr>
          <w:sz w:val="20"/>
        </w:rPr>
        <w:fldChar w:fldCharType="separate"/>
      </w:r>
      <w:r w:rsidRPr="004B458C">
        <w:rPr>
          <w:noProof/>
          <w:sz w:val="20"/>
        </w:rPr>
        <w:t>van Berkel and Verburg (2014)</w:t>
      </w:r>
      <w:r w:rsidRPr="004B458C">
        <w:rPr>
          <w:sz w:val="20"/>
        </w:rPr>
        <w:fldChar w:fldCharType="end"/>
      </w:r>
      <w:r w:rsidRPr="004B458C">
        <w:rPr>
          <w:sz w:val="20"/>
        </w:rPr>
        <w:t xml:space="preserve"> in the context of our case study area. The third method is the widely adopted land-cover based ES-matrix developed by </w:t>
      </w:r>
      <w:r w:rsidRPr="004B458C">
        <w:rPr>
          <w:sz w:val="20"/>
        </w:rPr>
        <w:fldChar w:fldCharType="begin" w:fldLock="1"/>
      </w:r>
      <w:r w:rsidRPr="004B458C">
        <w:rPr>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"mendeley" : { "formattedCitation" : "(Burkhard et al., 2009)", "manualFormatting" : "Burkhard et al. (2009)", "plainTextFormattedCitation" : "(Burkhard et al., 2009)", "previouslyFormattedCitation" : "(Burkhard et al., 2009)" }, "properties" : { "noteIndex" : 0 }, "schema" : "https://github.com/citation-style-language/schema/raw/master/csl-citation.json" }</w:instrText>
      </w:r>
      <w:r w:rsidRPr="004B458C">
        <w:rPr>
          <w:sz w:val="20"/>
        </w:rPr>
        <w:fldChar w:fldCharType="separate"/>
      </w:r>
      <w:r w:rsidRPr="004B458C">
        <w:rPr>
          <w:noProof/>
          <w:sz w:val="20"/>
        </w:rPr>
        <w:t>Burkhard et al. (2009)</w:t>
      </w:r>
      <w:r w:rsidRPr="004B458C">
        <w:rPr>
          <w:sz w:val="20"/>
        </w:rPr>
        <w:fldChar w:fldCharType="end"/>
      </w:r>
      <w:r w:rsidRPr="004B458C">
        <w:rPr>
          <w:sz w:val="20"/>
        </w:rPr>
        <w:t xml:space="preserve">. </w:t>
      </w:r>
    </w:p>
    <w:p w:rsidR="003F789A" w:rsidRPr="004B458C" w:rsidRDefault="003F789A" w:rsidP="008C28CE">
      <w:pPr>
        <w:spacing w:line="360" w:lineRule="auto"/>
        <w:rPr>
          <w:sz w:val="20"/>
        </w:rPr>
      </w:pPr>
    </w:p>
    <w:p w:rsidR="003F789A" w:rsidRDefault="003F789A" w:rsidP="008C28CE">
      <w:pPr>
        <w:spacing w:line="360" w:lineRule="auto"/>
        <w:rPr>
          <w:sz w:val="20"/>
        </w:rPr>
      </w:pPr>
      <w:proofErr w:type="spellStart"/>
      <w:r w:rsidRPr="004B458C">
        <w:rPr>
          <w:sz w:val="20"/>
        </w:rPr>
        <w:t>Burkhard</w:t>
      </w:r>
      <w:proofErr w:type="spellEnd"/>
      <w:r w:rsidRPr="004B458C">
        <w:rPr>
          <w:sz w:val="20"/>
        </w:rPr>
        <w:t xml:space="preserve"> et al., (2009) introduced an ecosystem service assessment method based on land-cover classes, which is referred to as the ES-matrix </w:t>
      </w:r>
      <w:r w:rsidRPr="004B458C">
        <w:rPr>
          <w:sz w:val="20"/>
        </w:rPr>
        <w:fldChar w:fldCharType="begin" w:fldLock="1"/>
      </w:r>
      <w:r w:rsidRPr="004B458C">
        <w:rPr>
          <w:sz w:val="20"/>
        </w:rPr>
        <w:instrText>ADDIN CSL_CITATION { "citationItems" : [ { "id" : "ITEM-1", "itemData" : { "DOI" : "10.1016/j.ecolmodel.2014.08.024", "ISSN" : "03043800", "author" : [ { "dropping-particle" : "", "family" : "Jacobs", "given" : "Sander", "non-dropping-particle" : "", "parse-names" : false, "suffix" : "" }, { "dropping-particle" : "", "family" : "Burkhard", "given" : "Benjamin", "non-dropping-particle" : "", "parse-names" : false, "suffix" : "" }, { "dropping-particle" : "", "family" : "Daele", "given" : "Toon", "non-dropping-particle" : "Van", "parse-names" : false, "suffix" : "" }, { "dropping-particle" : "", "family" : "Staes", "given" : "Jan", "non-dropping-particle" : "", "parse-names" : false, "suffix" : "" }, { "dropping-particle" : "", "family" : "Schneiders", "given" : "Anik", "non-dropping-particle" : "", "parse-names" : false, "suffix" : "" } ], "container-title" : "Ecological Modelling", "id" : "ITEM-1", "issued" : { "date-parts" : [ [ "2015" ] ] }, "page" : "21-30", "publisher" : "Elsevier B.V.", "title" : "\u2018The Matrix Reloaded\u2019: A review of expert knowledge use for mapping ecosystem services", "type" : "article-journal", "volume" : "295" }, "uris" : [ "http://www.mendeley.com/documents/?uuid=73d40178-6b70-469d-a572-818697934958" ] } ], "mendeley" : { "formattedCitation" : "(Jacobs et al., 2015)", "plainTextFormattedCitation" : "(Jacobs et al., 2015)", "previouslyFormattedCitation" : "(Jacobs et al., 2015)" }, "properties" : { "noteIndex" : 0 }, "schema" : "https://github.com/citation-style-language/schema/raw/master/csl-citation.json" }</w:instrText>
      </w:r>
      <w:r w:rsidRPr="004B458C">
        <w:rPr>
          <w:sz w:val="20"/>
        </w:rPr>
        <w:fldChar w:fldCharType="separate"/>
      </w:r>
      <w:r w:rsidRPr="004B458C">
        <w:rPr>
          <w:noProof/>
          <w:sz w:val="20"/>
        </w:rPr>
        <w:t>(Jacobs et al., 2015)</w:t>
      </w:r>
      <w:r w:rsidRPr="004B458C">
        <w:rPr>
          <w:sz w:val="20"/>
        </w:rPr>
        <w:fldChar w:fldCharType="end"/>
      </w:r>
      <w:r w:rsidRPr="004B458C">
        <w:rPr>
          <w:sz w:val="20"/>
        </w:rPr>
        <w:t xml:space="preserve">. In its initial application, the method builds on a generic expert evaluation of capacities to provide recreational &amp; aesthetic values and other ecosystem services on a 1 to 5 scale linked to 100m resolution European CORINE land-cover data </w:t>
      </w:r>
      <w:r w:rsidRPr="004B458C">
        <w:rPr>
          <w:sz w:val="20"/>
        </w:rPr>
        <w:fldChar w:fldCharType="begin" w:fldLock="1"/>
      </w:r>
      <w:r w:rsidRPr="004B458C">
        <w:rPr>
          <w:sz w:val="20"/>
        </w:rPr>
        <w:instrText>ADDIN CSL_CITATION { "citationItems" : [ { "id" : "ITEM-1", "itemData" : { "author" : [ { "dropping-particle" : "", "family" : "EAA (European Environment Agency)", "given" : "", "non-dropping-particle" : "", "parse-names" : false, "suffix" : "" } ], "id" : "ITEM-1", "issued" : { "date-parts" : [ [ "2012" ] ] }, "title" : "CORINE Land Cover 2006 raster data \u2013 100 m, version 16", "type" : "webpage" }, "uris" : [ "http://www.mendeley.com/documents/?uuid=e0688b2d-e154-4310-8b1b-010c0b0a1d52" ] } ], "mendeley" : { "formattedCitation" : "(EAA (European Environment Agency), 2012)", "manualFormatting" : "(European Environment Agency, 2012)", "plainTextFormattedCitation" : "(EAA (European Environment Agency), 2012)", "previouslyFormattedCitation" : "(EAA (European Environment Agency), 2012)" }, "properties" : { "noteIndex" : 0 }, "schema" : "https://github.com/citation-style-language/schema/raw/master/csl-citation.json" }</w:instrText>
      </w:r>
      <w:r w:rsidRPr="004B458C">
        <w:rPr>
          <w:sz w:val="20"/>
        </w:rPr>
        <w:fldChar w:fldCharType="separate"/>
      </w:r>
      <w:r w:rsidRPr="004B458C">
        <w:rPr>
          <w:noProof/>
          <w:sz w:val="20"/>
        </w:rPr>
        <w:t>(European Environment Agency, 2012)</w:t>
      </w:r>
      <w:r w:rsidRPr="004B458C">
        <w:rPr>
          <w:sz w:val="20"/>
        </w:rPr>
        <w:fldChar w:fldCharType="end"/>
      </w:r>
      <w:r w:rsidRPr="004B458C">
        <w:rPr>
          <w:sz w:val="20"/>
        </w:rPr>
        <w:t xml:space="preserve"> and can, therefore, be applied in our (and any other European) case study area. The two mapping methods developed by van </w:t>
      </w:r>
      <w:proofErr w:type="spellStart"/>
      <w:r w:rsidRPr="004B458C">
        <w:rPr>
          <w:sz w:val="20"/>
        </w:rPr>
        <w:t>Berkel</w:t>
      </w:r>
      <w:proofErr w:type="spellEnd"/>
      <w:r w:rsidRPr="004B458C">
        <w:rPr>
          <w:sz w:val="20"/>
        </w:rPr>
        <w:t xml:space="preserve"> &amp; </w:t>
      </w:r>
      <w:proofErr w:type="spellStart"/>
      <w:r w:rsidRPr="004B458C">
        <w:rPr>
          <w:sz w:val="20"/>
        </w:rPr>
        <w:t>Verburg</w:t>
      </w:r>
      <w:proofErr w:type="spellEnd"/>
      <w:r w:rsidRPr="004B458C">
        <w:rPr>
          <w:sz w:val="20"/>
        </w:rPr>
        <w:t xml:space="preserve"> (2014) build on primary landscape preference data collected through questionnaires among visitors. For their first method, an aesthetic value map was created based on preferences for individual landscape features, values were assigned to these landscape features and spatially extrapolated over </w:t>
      </w:r>
      <w:r w:rsidRPr="004B458C">
        <w:rPr>
          <w:sz w:val="20"/>
        </w:rPr>
        <w:lastRenderedPageBreak/>
        <w:t xml:space="preserve">the case study area. The second mapping method developed by van </w:t>
      </w:r>
      <w:proofErr w:type="spellStart"/>
      <w:r w:rsidRPr="004B458C">
        <w:rPr>
          <w:sz w:val="20"/>
        </w:rPr>
        <w:t>Berkel</w:t>
      </w:r>
      <w:proofErr w:type="spellEnd"/>
      <w:r w:rsidRPr="004B458C">
        <w:rPr>
          <w:sz w:val="20"/>
        </w:rPr>
        <w:t xml:space="preserve"> &amp; </w:t>
      </w:r>
      <w:proofErr w:type="spellStart"/>
      <w:r w:rsidRPr="004B458C">
        <w:rPr>
          <w:sz w:val="20"/>
        </w:rPr>
        <w:t>Verburg</w:t>
      </w:r>
      <w:proofErr w:type="spellEnd"/>
      <w:r w:rsidRPr="004B458C">
        <w:rPr>
          <w:sz w:val="20"/>
        </w:rPr>
        <w:t xml:space="preserve"> (2014) values landscape aesthetics based on land cover structure and composition: respondents chose from a set of six satellite images showing agricultural landscapes with different compositions and configurations of agricultural land, forest and landscape elements. Using a fuzzy membership calculation, it was determined to what extent each of the six satellite images fitted landscape structure and composition across the study areas. Subsequently, the aesthetic value map was created by a weighted overlay of the six fuzzy membership layers. Weights were determined by the amount of respondents that chose the satellite image based on its land cover structure and composition.         </w:t>
      </w:r>
    </w:p>
    <w:p w:rsidR="003F789A" w:rsidRPr="004B458C" w:rsidRDefault="003F789A" w:rsidP="008C28CE">
      <w:pPr>
        <w:spacing w:line="360" w:lineRule="auto"/>
        <w:rPr>
          <w:sz w:val="20"/>
        </w:rPr>
      </w:pPr>
    </w:p>
    <w:p w:rsidR="003F789A" w:rsidRDefault="003F789A" w:rsidP="008C28CE">
      <w:pPr>
        <w:spacing w:line="360" w:lineRule="auto"/>
        <w:rPr>
          <w:sz w:val="20"/>
        </w:rPr>
      </w:pPr>
      <w:r w:rsidRPr="004B458C">
        <w:rPr>
          <w:sz w:val="20"/>
        </w:rPr>
        <w:t xml:space="preserve">We qualitatively describe the impact of the mapping method on the hotspots of aesthetic values and the degree of spatial clustering. Hotspots are areas with high densities of ecosystem service supply </w:t>
      </w:r>
      <w:r w:rsidRPr="004B458C">
        <w:rPr>
          <w:sz w:val="20"/>
        </w:rPr>
        <w:fldChar w:fldCharType="begin" w:fldLock="1"/>
      </w:r>
      <w:r w:rsidRPr="004B458C">
        <w:rPr>
          <w:sz w:val="20"/>
        </w:rPr>
        <w:instrText>ADDIN CSL_CITATION { "citationItems" : [ { "id" : "ITEM-1", "itemData" : { "DOI" : "10.1016/j.landurbplan.2007.09.007", "ISBN" : "0169-2046", "ISSN" : "01692046", "abstract" : "This paper advances the concept of a coupled social-ecological system (SES), where human and biophysical systems are closely linked, to examine and explain variations in landscape values perceived by people in their region. In this paper, we describe an approach that allows the mapping of SES by linking survey research with geographic information systems (GIS) to provide spatial representations of social and ecological system convergence. Using survey data that measured landscape values from multiple communities on the Kenai Peninsula, Alaska, we identify geographical areas where both human-perceived and physically measured ecological values overlap and are referred to as social-ecological \"hotspots\". Community landscape values, collected as point data, were used to generate point density maps to produce hotspot surfaces for each value. These value surfaces were spatially cross-correlated with other communities' value surfaces and with an ecological map layer (net primary productivity) to demonstrate social-ecological mapping. Moderate spatial cross-correlation coefficients were found between most landscape values by community with 18 hotspot surfaces pairings exhibiting strong positive spatial cross correlations. Moderately significant, positive linear relationships were found between perceived biological values and net primary productivity for three of six communities. The exploratory spatial analysis presented in this paper is a first step in identifying and describing the presence of SES in a regional context. We conclude the paper by discussing the potential managerial and ecological implications of coupled social-ecological systems including system resilience and vulnerability, and the limitations of the approach that need to be considered. \u00a9 2007 Elsevier B.V. All rights reserved.", "author" : [ { "dropping-particle" : "", "family" : "Alessa", "given" : "Lilian (Naia)", "non-dropping-particle" : "", "parse-names" : false, "suffix" : "" }, { "dropping-particle" : "", "family" : "Kliskey", "given" : "Andrew (Anaru)", "non-dropping-particle" : "", "parse-names" : false, "suffix" : "" }, { "dropping-particle" : "", "family" : "Brown", "given" : "Gregory", "non-dropping-particle" : "", "parse-names" : false, "suffix" : "" } ], "container-title" : "Landscape and Urban Planning", "id" : "ITEM-1", "issue" : "1", "issued" : { "date-parts" : [ [ "2008" ] ] }, "page" : "27-39", "title" : "Social-ecological hotspots mapping: A spatial approach for identifying coupled social-ecological space", "type" : "article-journal", "volume" : "85" }, "uris" : [ "http://www.mendeley.com/documents/?uuid=8050dea9-c440-457e-8586-2f26213863ae" ] } ], "mendeley" : { "formattedCitation" : "(Alessa et al., 2008)", "plainTextFormattedCitation" : "(Alessa et al., 2008)", "previouslyFormattedCitation" : "(Alessa et al., 2008)" }, "properties" : { "noteIndex" : 0 }, "schema" : "https://github.com/citation-style-language/schema/raw/master/csl-citation.json" }</w:instrText>
      </w:r>
      <w:r w:rsidRPr="004B458C">
        <w:rPr>
          <w:sz w:val="20"/>
        </w:rPr>
        <w:fldChar w:fldCharType="separate"/>
      </w:r>
      <w:r w:rsidRPr="004B458C">
        <w:rPr>
          <w:noProof/>
          <w:sz w:val="20"/>
        </w:rPr>
        <w:t>(Alessa et al., 2008)</w:t>
      </w:r>
      <w:r w:rsidRPr="004B458C">
        <w:rPr>
          <w:sz w:val="20"/>
        </w:rPr>
        <w:fldChar w:fldCharType="end"/>
      </w:r>
      <w:r w:rsidRPr="004B458C">
        <w:rPr>
          <w:sz w:val="20"/>
        </w:rPr>
        <w:t xml:space="preserve">. We apply a hotspot analysis in ArcMap to calculate the </w:t>
      </w:r>
      <w:proofErr w:type="spellStart"/>
      <w:r w:rsidRPr="004B458C">
        <w:rPr>
          <w:sz w:val="20"/>
        </w:rPr>
        <w:t>Getis</w:t>
      </w:r>
      <w:proofErr w:type="spellEnd"/>
      <w:r w:rsidRPr="004B458C">
        <w:rPr>
          <w:sz w:val="20"/>
        </w:rPr>
        <w:t xml:space="preserve">-Ord </w:t>
      </w:r>
      <w:proofErr w:type="spellStart"/>
      <w:r w:rsidRPr="004B458C">
        <w:rPr>
          <w:sz w:val="20"/>
        </w:rPr>
        <w:t>Gi</w:t>
      </w:r>
      <w:proofErr w:type="spellEnd"/>
      <w:r w:rsidRPr="004B458C">
        <w:rPr>
          <w:sz w:val="20"/>
        </w:rPr>
        <w:t xml:space="preserve">* spatial statistic. This statistic enables us to identify and compare statistically significant spatial clusters </w:t>
      </w:r>
      <w:r w:rsidRPr="004B458C">
        <w:rPr>
          <w:sz w:val="20"/>
        </w:rPr>
        <w:fldChar w:fldCharType="begin" w:fldLock="1"/>
      </w:r>
      <w:r w:rsidRPr="004B458C">
        <w:rPr>
          <w:sz w:val="20"/>
        </w:rPr>
        <w:instrText>ADDIN CSL_CITATION { "citationItems" : [ { "id" : "ITEM-1", "itemData" : { "DOI" : "10.1007/s00267-010-9462-x", "ISSN" : "1432-1009", "PMID" : "20300936", "abstract" : "This research advances the understanding of the location of perceived landscape values through a statistically based approach to spatial analysis of value densities. Survey data were obtained from a sample of people living in and using the Murray River region, Australia, where declining environmental quality prompted a reevaluation of its conservation status. When densities of 12 perceived landscape values were mapped using geographic information systems (GIS), valued places clustered along the entire river bank and in associated National/State Parks and reserves. While simple density mapping revealed high value densities in various locations, it did not indicate what density of a landscape value could be regarded as a statistically significant hotspot or distinguish whether overlapping areas of high density for different values indicate identical or adjacent locations. A spatial statistic Getis-Ord Gi* was used to indicate statistically significant spatial clusters of high value densities or \"hotspots\". Of 251 hotspots, 40% were for single non-use values, primarily spiritual, therapeutic or intrinsic. Four hotspots had 11 landscape values. Two, lacking economic value, were located in ecologically important river red gum forests and two, lacking wilderness value, were near the major towns of Echuca-Moama and Albury-Wodonga. Hotspots for eight values showed statistically significant associations with another value. There were high associations between learning and heritage values while economic and biological diversity values showed moderate associations with several other direct and indirect use values. This approach may improve confidence in the interpretation of spatial analysis of landscape values by enhancing understanding of value relationships.", "author" : [ { "dropping-particle" : "", "family" : "Zhu", "given" : "Xuan", "non-dropping-particle" : "", "parse-names" : false, "suffix" : "" }, { "dropping-particle" : "", "family" : "Pfueller", "given" : "Sharron", "non-dropping-particle" : "", "parse-names" : false, "suffix" : "" }, { "dropping-particle" : "", "family" : "Whitelaw", "given" : "Paul", "non-dropping-particle" : "", "parse-names" : false, "suffix" : "" }, { "dropping-particle" : "", "family" : "Winter", "given" : "Caroline", "non-dropping-particle" : "", "parse-names" : false, "suffix" : "" } ], "container-title" : "Environmental management", "id" : "ITEM-1", "issue" : "5", "issued" : { "date-parts" : [ [ "2010", "5" ] ] }, "page" : "896-911", "title" : "Spatial differentiation of landscape values in the Murray River region of Victoria, Australia.", "type" : "article-journal", "volume" : "45" }, "uris" : [ "http://www.mendeley.com/documents/?uuid=5305255c-adff-4293-a7af-68efeee53b6e" ] }, { "id" : "ITEM-2", "itemData" : { "DOI" : "10.1016/j.ecoser.2013.06.005", "ISSN" : "22120416", "abstract" : "As urbanization expands city planners and policymakers need to consider how ecological resources can be strategically developed and managed sustainably to meet the needs of urban populations. The ecosystem services (ES) approach provides a useful framework for assessing the status quo, setting goals, identifying benchmarks and prioritizing approaches to improving ecological functioning for urban sustainability and resilience. However, new tools are required for comprehensively evaluating urban ES for ecosystem management and to understand how local and regional trends and plans may affect ES provisioning. We develop an ES assessment methodology that can be used to assess multiple ES of urban green space and integrate them with social conditions in urban neighborhoods. Our approach considers social-ecological conditions and their spatial patterns across the urban landscape. Our analysis focuses on vacant land in New York City. Results suggest that a combined social-ecological approach to ES assessment yields new tools for monitoring and stacking ES. We find that clusters of vacant lots in areas with overlapping low ecological value (e.g. low concentration of green space) and high social need for ES (e.g. high population density) are primarily concentrated in three areas of the city - East Harlem, South Bronx and Central Brooklyn. \u00a9 2013 Elsevier B.V.", "author" : [ { "dropping-particle" : "", "family" : "McPhearson", "given" : "Timon", "non-dropping-particle" : "", "parse-names" : false, "suffix" : "" }, { "dropping-particle" : "", "family" : "Kremer", "given" : "Peleg", "non-dropping-particle" : "", "parse-names" : false, "suffix" : "" }, { "dropping-particle" : "", "family" : "Hamstead", "given" : "Zo\u00e9 a.", "non-dropping-particle" : "", "parse-names" : false, "suffix" : "" } ], "container-title" : "Ecosystem Services", "id" : "ITEM-2", "issued" : { "date-parts" : [ [ "2013" ] ] }, "page" : "11-26", "publisher" : "Elsevier", "title" : "Mapping ecosystem services in New York City: Applying a social-ecological approach in urban vacant land", "type" : "article-journal", "volume" : "5" }, "uris" : [ "http://www.mendeley.com/documents/?uuid=7c914acc-d6be-4d25-86c5-5fe82b07a49d" ] } ], "mendeley" : { "formattedCitation" : "(McPhearson et al., 2013; Zhu et al., 2010)", "plainTextFormattedCitation" : "(McPhearson et al., 2013; Zhu et al., 2010)", "previouslyFormattedCitation" : "(McPhearson et al., 2013; Zhu et al., 2010)" }, "properties" : { "noteIndex" : 0 }, "schema" : "https://github.com/citation-style-language/schema/raw/master/csl-citation.json" }</w:instrText>
      </w:r>
      <w:r w:rsidRPr="004B458C">
        <w:rPr>
          <w:sz w:val="20"/>
        </w:rPr>
        <w:fldChar w:fldCharType="separate"/>
      </w:r>
      <w:r w:rsidRPr="004B458C">
        <w:rPr>
          <w:noProof/>
          <w:sz w:val="20"/>
        </w:rPr>
        <w:t>(McPhearson et al., 2013; Zhu et al., 2010)</w:t>
      </w:r>
      <w:r w:rsidRPr="004B458C">
        <w:rPr>
          <w:sz w:val="20"/>
        </w:rPr>
        <w:fldChar w:fldCharType="end"/>
      </w:r>
      <w:r w:rsidRPr="004B458C">
        <w:rPr>
          <w:sz w:val="20"/>
        </w:rPr>
        <w:t xml:space="preserve"> of high and low values in the four mapping approaches. The </w:t>
      </w:r>
      <w:proofErr w:type="spellStart"/>
      <w:r w:rsidRPr="004B458C">
        <w:rPr>
          <w:sz w:val="20"/>
        </w:rPr>
        <w:t>Gi</w:t>
      </w:r>
      <w:proofErr w:type="spellEnd"/>
      <w:r w:rsidRPr="004B458C">
        <w:rPr>
          <w:sz w:val="20"/>
        </w:rPr>
        <w:t xml:space="preserve">* Z-scores describe the standard deviation of values in a cluster. Under the assumption of a normal distribution, the Z-scores of 1.65, 1.98 and 2.58 correspond with p-values of &lt; .10, &lt;0.05 and &lt;0.01. For quantitative comparison of the configuration of hot and cold spots, we create an agreement map using a methodology developed by </w:t>
      </w:r>
      <w:r w:rsidRPr="004B458C">
        <w:rPr>
          <w:sz w:val="20"/>
        </w:rPr>
        <w:fldChar w:fldCharType="begin" w:fldLock="1"/>
      </w:r>
      <w:r w:rsidRPr="004B458C">
        <w:rPr>
          <w:sz w:val="20"/>
        </w:rPr>
        <w:instrText>ADDIN CSL_CITATION { "citationItems" : [ { "id" : "ITEM-1", "itemData" : { "DOI" : "10.1371/journal.pone.0109643", "author" : [ { "dropping-particle" : "", "family" : "Schulp", "given" : "Catharina J E", "non-dropping-particle" : "", "parse-names" : false, "suffix" : "" }, { "dropping-particle" : "", "family" : "Burkhard", "given" : "Benjamin", "non-dropping-particle" : "", "parse-names" : false, "suffix" : "" }, { "dropping-particle" : "", "family" : "Maes", "given" : "Joachim", "non-dropping-particle" : "", "parse-names" : false, "suffix" : "" }, { "dropping-particle" : "Van", "family" : "Vliet", "given" : "Jasper", "non-dropping-particle" : "", "parse-names" : false, "suffix" : "" }, { "dropping-particle" : "", "family" : "Verburg", "given" : "Peter H", "non-dropping-particle" : "", "parse-names" : false, "suffix" : "" } ], "container-title" : "PloS one", "id" : "ITEM-1", "issue" : "10", "issued" : { "date-parts" : [ [ "2014" ] ] }, "note" : "how did you calculate the hotspots?", "title" : "Uncertainties in Ecosystem Service Maps: A Comparison on the European Scale", "type" : "article-journal", "volume" : "9" }, "uris" : [ "http://www.mendeley.com/documents/?uuid=efb61182-b416-4ade-9416-9ebb6e7e03e2" ] } ], "mendeley" : { "formattedCitation" : "(Schulp et al., 2014)", "manualFormatting" : "Schulp et al., (2014)", "plainTextFormattedCitation" : "(Schulp et al., 2014)", "previouslyFormattedCitation" : "(Schulp et al., 2014)" }, "properties" : { "noteIndex" : 0 }, "schema" : "https://github.com/citation-style-language/schema/raw/master/csl-citation.json" }</w:instrText>
      </w:r>
      <w:r w:rsidRPr="004B458C">
        <w:rPr>
          <w:sz w:val="20"/>
        </w:rPr>
        <w:fldChar w:fldCharType="separate"/>
      </w:r>
      <w:r w:rsidRPr="004B458C">
        <w:rPr>
          <w:noProof/>
          <w:sz w:val="20"/>
        </w:rPr>
        <w:t>Schulp et al. (2014)</w:t>
      </w:r>
      <w:r w:rsidRPr="004B458C">
        <w:rPr>
          <w:sz w:val="20"/>
        </w:rPr>
        <w:fldChar w:fldCharType="end"/>
      </w:r>
      <w:r w:rsidRPr="004B458C">
        <w:rPr>
          <w:sz w:val="20"/>
        </w:rPr>
        <w:t xml:space="preserve"> and we present the percentage agreement on hot spots among the four methods in tabular form. Additionally, to compare the overall degree of spatial clustering in the maps, we apply an incremental spatial autocorrelation analysis and compare Moran’s I among the four approaches at incremental distance of 100-1000 meters around each cell. Moran’s I is a spatial statistic ranging from -1 (perfect negative autocorrelation) to 1 (perfect positive autocorrelation). A value of 0 indicates a perfectly random spatial pattern.</w:t>
      </w:r>
    </w:p>
    <w:p w:rsidR="003F789A" w:rsidRPr="004B458C" w:rsidRDefault="003F789A" w:rsidP="008C28CE">
      <w:pPr>
        <w:spacing w:line="360" w:lineRule="auto"/>
        <w:rPr>
          <w:sz w:val="20"/>
        </w:rPr>
      </w:pPr>
    </w:p>
    <w:p w:rsidR="003F789A" w:rsidRPr="008C28CE" w:rsidRDefault="003F789A" w:rsidP="008C28CE">
      <w:pPr>
        <w:rPr>
          <w:b/>
          <w:sz w:val="20"/>
        </w:rPr>
      </w:pPr>
      <w:r w:rsidRPr="008C28CE">
        <w:rPr>
          <w:b/>
          <w:sz w:val="20"/>
        </w:rPr>
        <w:t>Comparison to revealed preferences</w:t>
      </w:r>
    </w:p>
    <w:p w:rsidR="003F789A" w:rsidRDefault="003F789A" w:rsidP="008C28CE">
      <w:pPr>
        <w:spacing w:line="360" w:lineRule="auto"/>
      </w:pPr>
      <w:r w:rsidRPr="004B458C">
        <w:t xml:space="preserve">To verify the results of our mapping approach, we descriptively compare the cultural ecosystem services map based on the choice experiment method to a density map of geotagged photographs extracted from the web platform </w:t>
      </w:r>
      <w:proofErr w:type="spellStart"/>
      <w:r w:rsidRPr="004B458C">
        <w:t>Panoramio</w:t>
      </w:r>
      <w:proofErr w:type="spellEnd"/>
      <w:r w:rsidRPr="004B458C">
        <w:t xml:space="preserve">. Density functions of online passively-crowdsourced photo repositories are a valuable source of information to estimate the provision of cultural ecosystem services and have been applied in several other studies, such as </w:t>
      </w:r>
      <w:r w:rsidRPr="004B458C">
        <w:fldChar w:fldCharType="begin" w:fldLock="1"/>
      </w:r>
      <w:r w:rsidRPr="004B458C">
        <w:instrText>ADDIN CSL_CITATION { "citationItems" : [ { "id" : "ITEM-1", "itemData" : { "DOI" : "10.1371/journal.pone.0068437", "ISSN" : "1932-6203", "PMID" : "23840853", "abstract" : "Mapping the spatial distribution of ecosystem goods and services represents a burgeoning field of research, although how different services covary with one another remains poorly understood. This is particularly true for the covariation of supporting, provisioning and regulating services with cultural services (the non-material benefits people gain from nature). This is largely because of challenges associated with the spatially specific quantification of cultural ecosystem services. We propose an innovative approach for evaluating a cultural service, the perceived aesthetic value of ecosystems, by quantifying geo-tagged digital photographs uploaded to social media resources. Our analysis proceeds from the premise that images will be captured by greater numbers of people in areas that are more highly valued for their aesthetic attributes. This approach was applied in Cornwall, UK, to carry out a spatial analysis of the covariation between ecosystem services: soil carbon stocks, agricultural production, and aesthetic value. Our findings suggest that online geo-tagged images provide an effective metric for mapping a key component of cultural ecosystem services. They also highlight the non-stationarity in the spatial relationships between patterns of ecosystem services.", "author" : [ { "dropping-particle" : "", "family" : "Casalegno", "given" : "Stefano", "non-dropping-particle" : "", "parse-names" : false, "suffix" : "" }, { "dropping-particle" : "", "family" : "Inger", "given" : "Richard", "non-dropping-particle" : "", "parse-names" : false, "suffix" : "" }, { "dropping-particle" : "", "family" : "Desilvey", "given" : "Caitlin", "non-dropping-particle" : "", "parse-names" : false, "suffix" : "" }, { "dropping-particle" : "", "family" : "Gaston", "given" : "Kevin J", "non-dropping-particle" : "", "parse-names" : false, "suffix" : "" } ], "container-title" : "PloS one", "id" : "ITEM-1", "issue" : "6", "issued" : { "date-parts" : [ [ "2013", "1" ] ] }, "page" : "e68437", "title" : "Spatial covariance between aesthetic value &amp; other ecosystem services.", "type" : "article-journal", "volume" : "8" }, "uris" : [ "http://www.mendeley.com/documents/?uuid=a5eb8c1e-9f7f-4816-bbc8-0c1fad0ff775" ] } ], "mendeley" : { "formattedCitation" : "(Casalegno et al., 2013)", "manualFormatting" : "Casalegno et al. (2013)", "plainTextFormattedCitation" : "(Casalegno et al., 2013)", "previouslyFormattedCitation" : "(Casalegno et al., 2013)" }, "properties" : { "noteIndex" : 0 }, "schema" : "https://github.com/citation-style-language/schema/raw/master/csl-citation.json" }</w:instrText>
      </w:r>
      <w:r w:rsidRPr="004B458C">
        <w:fldChar w:fldCharType="separate"/>
      </w:r>
      <w:r w:rsidRPr="004B458C">
        <w:rPr>
          <w:noProof/>
        </w:rPr>
        <w:t>Casalegno et al. (2013)</w:t>
      </w:r>
      <w:r w:rsidRPr="004B458C">
        <w:fldChar w:fldCharType="end"/>
      </w:r>
      <w:r w:rsidRPr="004B458C">
        <w:t xml:space="preserve">, </w:t>
      </w:r>
      <w:r w:rsidRPr="004B458C">
        <w:fldChar w:fldCharType="begin" w:fldLock="1"/>
      </w:r>
      <w:r w:rsidRPr="004B458C">
        <w:instrText>ADDIN CSL_CITATION { "citationItems" : [ { "id" : "ITEM-1", "itemData" : { "DOI" : "10.1016/j.apgeog.2012.12.004", "ISBN" : "0143-6228", "ISSN" : "01436228", "abstract" : "The question of how ecosystem services can be spatially defined and visualized continues to be challenging, particularly for cultural services such as recreation and ecotourism. This study proposes a methodological framework that combines Geographic Information System and participatory methods (Delphi method and Analytic Hierarchy Process) to map recreation and ecotourism at the municipality level. Attributes selected were singular natural resources, scenic beauty, accessibility, tourism attraction capacity, and tourism use aptitude, which were represented by specific spatial criteria validated and weighted by experts. Two types of indicators were obtained and mapped: i) Recreation and ecotourism potential (REPf) which, based on the selected attributes, measured recreation potential in a 0-100 point scale; and ii) Recreation and ecotourism opportunities (REOi), which adjusting REPf by carrying capacity, measured the visitors per hectare that could sustainably recreate in the study area. The resulting maps were highly consistent with the distribution of areas recognized by the tourism authorities as of interest for recreation development (i.e. areas with emblematic flora and fauna and the presence of public and private protected areas). Overall, the methodology demonstrates an important potential for identifying recreation areas to inform local decision making regarding land use planning. ?? 2013 Elsevier Ltd.", "author" : [ { "dropping-particle" : "", "family" : "Nahuelhual", "given" : "Laura", "non-dropping-particle" : "", "parse-names" : false, "suffix" : "" }, { "dropping-particle" : "", "family" : "Carmona", "given" : "Alejandra", "non-dropping-particle" : "", "parse-names" : false, "suffix" : "" }, { "dropping-particle" : "", "family" : "Lozada", "given" : "Paola", "non-dropping-particle" : "", "parse-names" : false, "suffix" : "" }, { "dropping-particle" : "", "family" : "Jaramillo", "given" : "Amerindia", "non-dropping-particle" : "", "parse-names" : false, "suffix" : "" }, { "dropping-particle" : "", "family" : "Aguayo", "given" : "Mauricio", "non-dropping-particle" : "", "parse-names" : false, "suffix" : "" } ], "container-title" : "Applied Geography", "id" : "ITEM-1", "issued" : { "date-parts" : [ [ "2013" ] ] }, "page" : "71-82", "publisher" : "Elsevier Ltd", "title" : "Mapping recreation and ecotourism as a cultural ecosystem service: An application at the local level in Southern Chile", "type" : "article-journal", "volume" : "40" }, "uris" : [ "http://www.mendeley.com/documents/?uuid=722ed6c2-8d97-4f32-a656-915994b9c81f" ] } ], "mendeley" : { "formattedCitation" : "(Nahuelhual et al., 2013)", "manualFormatting" : "Nahuelhual et al. (2013)", "plainTextFormattedCitation" : "(Nahuelhual et al., 2013)", "previouslyFormattedCitation" : "(Nahuelhual et al., 2013)" }, "properties" : { "noteIndex" : 0 }, "schema" : "https://github.com/citation-style-language/schema/raw/master/csl-citation.json" }</w:instrText>
      </w:r>
      <w:r w:rsidRPr="004B458C">
        <w:fldChar w:fldCharType="separate"/>
      </w:r>
      <w:r w:rsidRPr="004B458C">
        <w:rPr>
          <w:noProof/>
        </w:rPr>
        <w:t>Nahuelhual et al. (2013)</w:t>
      </w:r>
      <w:r w:rsidRPr="004B458C">
        <w:fldChar w:fldCharType="end"/>
      </w:r>
      <w:r w:rsidRPr="004B458C">
        <w:t xml:space="preserve"> and </w:t>
      </w:r>
      <w:r w:rsidRPr="004B458C">
        <w:fldChar w:fldCharType="begin" w:fldLock="1"/>
      </w:r>
      <w:r w:rsidRPr="004B458C">
        <w:instrText>ADDIN CSL_CITATION { "citationItems" : [ { "id" : "ITEM-1", "itemData" : { "DOI" : "10.1038/srep02976", "ISSN" : "2045-2322", "PMID" : "24131963", "abstract" : "Scientists have traditionally studied recreation in nature by conducting surveys at entrances to major attractions such as national parks. This method is expensive and provides limited spatial and temporal coverage. A new source of information is available from online social media websites such as flickr. Here, we test whether this source of \"big data\" can be used to approximate visitation rates. We use the locations of photographs in flickr to estimate visitation rates at 836 recreational sites around the world, and use information from the profiles of the photographers to derive travelers' origins. We compare these estimates to empirical data at each site and conclude that the crowd-sourced information can indeed serve as a reliable proxy for empirical visitation rates. This new approach offers opportunities to understand which elements of nature attract people to locations around the globe, and whether changes in ecosystems will alter visitation rates.", "author" : [ { "dropping-particle" : "", "family" : "Wood", "given" : "Spencer a", "non-dropping-particle" : "", "parse-names" : false, "suffix" : "" }, { "dropping-particle" : "", "family" : "Guerry", "given" : "Anne D", "non-dropping-particle" : "", "parse-names" : false, "suffix" : "" }, { "dropping-particle" : "", "family" : "Silver", "given" : "Jessica M", "non-dropping-particle" : "", "parse-names" : false, "suffix" : "" }, { "dropping-particle" : "", "family" : "Lacayo", "given" : "Martin", "non-dropping-particle" : "", "parse-names" : false, "suffix" : "" } ], "container-title" : "Scientific reports", "id" : "ITEM-1", "issued" : { "date-parts" : [ [ "2013" ] ] }, "number-of-pages" : "2976", "title" : "Using social media to quantify nature-based tourism and recreation.", "type" : "report", "volume" : "3" }, "uris" : [ "http://www.mendeley.com/documents/?uuid=526066ac-c4ac-4325-acc9-ca785be08b9e" ] } ], "mendeley" : { "formattedCitation" : "(Wood et al., 2013)", "manualFormatting" : "Wood et al. (2013)", "plainTextFormattedCitation" : "(Wood et al., 2013)", "previouslyFormattedCitation" : "(Wood et al., 2013)" }, "properties" : { "noteIndex" : 0 }, "schema" : "https://github.com/citation-style-language/schema/raw/master/csl-citation.json" }</w:instrText>
      </w:r>
      <w:r w:rsidRPr="004B458C">
        <w:fldChar w:fldCharType="separate"/>
      </w:r>
      <w:r w:rsidRPr="004B458C">
        <w:rPr>
          <w:noProof/>
        </w:rPr>
        <w:t>Wood et al. (2013)</w:t>
      </w:r>
      <w:r w:rsidRPr="004B458C">
        <w:fldChar w:fldCharType="end"/>
      </w:r>
      <w:r w:rsidRPr="004B458C">
        <w:t xml:space="preserve">. To estimate the aesthetic value of landscapes, the </w:t>
      </w:r>
      <w:proofErr w:type="spellStart"/>
      <w:r w:rsidRPr="004B458C">
        <w:t>Panoramio</w:t>
      </w:r>
      <w:proofErr w:type="spellEnd"/>
      <w:r w:rsidRPr="004B458C">
        <w:t xml:space="preserve"> database in particular hosts valuable information as this repository focuses on photographs of landscapes and natural features of the environment specifically. In this study, we follow the methodology that is proposed by </w:t>
      </w:r>
      <w:r w:rsidRPr="004B458C">
        <w:fldChar w:fldCharType="begin" w:fldLock="1"/>
      </w:r>
      <w:r w:rsidRPr="004B458C">
        <w:instrText>ADDIN CSL_CITATION { "citationItems" : [ { "id" : "ITEM-1", "itemData" : { "DOI" : "10.1371/journal.pone.0068437", "ISSN" : "1932-6203", "PMID" : "23840853", "abstract" : "Mapping the spatial distribution of ecosystem goods and services represents a burgeoning field of research, although how different services covary with one another remains poorly understood. This is particularly true for the covariation of supporting, provisioning and regulating services with cultural services (the non-material benefits people gain from nature). This is largely because of challenges associated with the spatially specific quantification of cultural ecosystem services. We propose an innovative approach for evaluating a cultural service, the perceived aesthetic value of ecosystems, by quantifying geo-tagged digital photographs uploaded to social media resources. Our analysis proceeds from the premise that images will be captured by greater numbers of people in areas that are more highly valued for their aesthetic attributes. This approach was applied in Cornwall, UK, to carry out a spatial analysis of the covariation between ecosystem services: soil carbon stocks, agricultural production, and aesthetic value. Our findings suggest that online geo-tagged images provide an effective metric for mapping a key component of cultural ecosystem services. They also highlight the non-stationarity in the spatial relationships between patterns of ecosystem services.", "author" : [ { "dropping-particle" : "", "family" : "Casalegno", "given" : "Stefano", "non-dropping-particle" : "", "parse-names" : false, "suffix" : "" }, { "dropping-particle" : "", "family" : "Inger", "given" : "Richard", "non-dropping-particle" : "", "parse-names" : false, "suffix" : "" }, { "dropping-particle" : "", "family" : "Desilvey", "given" : "Caitlin", "non-dropping-particle" : "", "parse-names" : false, "suffix" : "" }, { "dropping-particle" : "", "family" : "Gaston", "given" : "Kevin J", "non-dropping-particle" : "", "parse-names" : false, "suffix" : "" } ], "container-title" : "PloS one", "id" : "ITEM-1", "issue" : "6", "issued" : { "date-parts" : [ [ "2013", "1" ] ] }, "page" : "e68437", "title" : "Spatial covariance between aesthetic value &amp; other ecosystem services.", "type" : "article-journal", "volume" : "8" }, "uris" : [ "http://www.mendeley.com/documents/?uuid=a5eb8c1e-9f7f-4816-bbc8-0c1fad0ff775" ] } ], "mendeley" : { "formattedCitation" : "(Casalegno et al., 2013)", "manualFormatting" : "Casalegno et al., (2013)", "plainTextFormattedCitation" : "(Casalegno et al., 2013)", "previouslyFormattedCitation" : "(Casalegno et al., 2013)" }, "properties" : { "noteIndex" : 0 }, "schema" : "https://github.com/citation-style-language/schema/raw/master/csl-citation.json" }</w:instrText>
      </w:r>
      <w:r w:rsidRPr="004B458C">
        <w:fldChar w:fldCharType="separate"/>
      </w:r>
      <w:r w:rsidRPr="004B458C">
        <w:rPr>
          <w:noProof/>
        </w:rPr>
        <w:t>Casalegno et al., (2013)</w:t>
      </w:r>
      <w:r w:rsidRPr="004B458C">
        <w:fldChar w:fldCharType="end"/>
      </w:r>
      <w:r w:rsidRPr="004B458C">
        <w:t xml:space="preserve"> to map the aesthetic value of landscapes. The number of individuals that have uploaded photographs per unit area (1 km</w:t>
      </w:r>
      <w:r w:rsidRPr="004B458C">
        <w:rPr>
          <w:vertAlign w:val="superscript"/>
        </w:rPr>
        <w:t>2</w:t>
      </w:r>
      <w:r w:rsidRPr="004B458C">
        <w:t xml:space="preserve">) is used as a measure of landscape value (we excluded photos geotagged in urban areas). This approach is more </w:t>
      </w:r>
      <w:r w:rsidRPr="004B458C">
        <w:lastRenderedPageBreak/>
        <w:t xml:space="preserve">appropriate than the total number photographs, as otherwise the data can be severely biased by very active individual photographers in a particular unit area. </w:t>
      </w:r>
    </w:p>
    <w:p w:rsidR="003F789A" w:rsidRPr="001C42D8" w:rsidRDefault="003F789A" w:rsidP="006D566F">
      <w:pPr>
        <w:pStyle w:val="Heading3"/>
        <w:numPr>
          <w:ilvl w:val="0"/>
          <w:numId w:val="0"/>
        </w:numPr>
        <w:spacing w:before="240" w:line="276" w:lineRule="auto"/>
        <w:rPr>
          <w:b/>
          <w:bCs/>
          <w:color w:val="339966"/>
          <w:szCs w:val="22"/>
        </w:rPr>
      </w:pPr>
      <w:bookmarkStart w:id="122" w:name="_Toc436915626"/>
      <w:bookmarkStart w:id="123" w:name="_Toc436916066"/>
      <w:r w:rsidRPr="001C42D8">
        <w:rPr>
          <w:color w:val="339966"/>
        </w:rPr>
        <w:t>4.2.3 Results</w:t>
      </w:r>
      <w:bookmarkEnd w:id="122"/>
      <w:bookmarkEnd w:id="123"/>
      <w:r w:rsidRPr="001C42D8">
        <w:rPr>
          <w:color w:val="339966"/>
        </w:rPr>
        <w:t xml:space="preserve"> </w:t>
      </w:r>
    </w:p>
    <w:p w:rsidR="003F789A" w:rsidRDefault="003F789A" w:rsidP="008C28CE">
      <w:pPr>
        <w:pStyle w:val="Heading2"/>
        <w:numPr>
          <w:ilvl w:val="0"/>
          <w:numId w:val="0"/>
        </w:numPr>
        <w:spacing w:line="360" w:lineRule="auto"/>
        <w:rPr>
          <w:color w:val="auto"/>
          <w:sz w:val="20"/>
        </w:rPr>
      </w:pPr>
      <w:bookmarkStart w:id="124" w:name="_Toc436915627"/>
    </w:p>
    <w:p w:rsidR="003F789A" w:rsidRPr="00015240" w:rsidRDefault="003F789A" w:rsidP="00015240">
      <w:pPr>
        <w:rPr>
          <w:b/>
          <w:sz w:val="20"/>
        </w:rPr>
      </w:pPr>
      <w:bookmarkStart w:id="125" w:name="_Toc436916067"/>
      <w:r w:rsidRPr="00015240">
        <w:rPr>
          <w:b/>
          <w:sz w:val="20"/>
        </w:rPr>
        <w:t>Aesthetic value map</w:t>
      </w:r>
      <w:bookmarkEnd w:id="124"/>
      <w:bookmarkEnd w:id="125"/>
    </w:p>
    <w:p w:rsidR="003F789A" w:rsidRPr="004B458C" w:rsidRDefault="003F789A" w:rsidP="008C28CE">
      <w:pPr>
        <w:spacing w:line="360" w:lineRule="auto"/>
        <w:rPr>
          <w:sz w:val="20"/>
          <w:highlight w:val="yellow"/>
        </w:rPr>
      </w:pPr>
      <w:r w:rsidRPr="004B458C">
        <w:rPr>
          <w:sz w:val="20"/>
        </w:rPr>
        <w:t>Using these choice data of respondents, we estimate a conditional logit choice model (Table 2). The attribute levels are dummy-coded. Low levels are the reference categories. All coefficients are positive and statistically significant, indicating that the presence of any medium or high level attribute increases the probability that a respondent chooses a landscape alternative. The size of the coefficient shows the preference of respondents for the attribute level relative to the presence of the other attributes. The third column of the table shows the standard errors of the parameter estimates. The goodness of fit of the model is indicated by the McFadden adjusted Pseudo-R</w:t>
      </w:r>
      <w:r w:rsidRPr="004B458C">
        <w:rPr>
          <w:sz w:val="20"/>
          <w:vertAlign w:val="superscript"/>
        </w:rPr>
        <w:t>2</w:t>
      </w:r>
      <w:r w:rsidRPr="004B458C">
        <w:rPr>
          <w:sz w:val="20"/>
        </w:rPr>
        <w:t>.</w:t>
      </w:r>
      <w:r w:rsidRPr="004B458C">
        <w:rPr>
          <w:sz w:val="20"/>
          <w:highlight w:val="yellow"/>
        </w:rPr>
        <w:t xml:space="preserve"> </w:t>
      </w:r>
    </w:p>
    <w:p w:rsidR="003F789A" w:rsidRPr="004B458C" w:rsidRDefault="008C4819" w:rsidP="008C28CE">
      <w:pPr>
        <w:spacing w:line="360" w:lineRule="auto"/>
        <w:jc w:val="left"/>
        <w:rPr>
          <w:b/>
          <w:sz w:val="20"/>
        </w:rPr>
      </w:pPr>
      <w:r>
        <w:rPr>
          <w:noProof/>
          <w:lang w:val="en-IE" w:eastAsia="en-IE"/>
        </w:rPr>
        <mc:AlternateContent>
          <mc:Choice Requires="wps">
            <w:drawing>
              <wp:anchor distT="0" distB="0" distL="114300" distR="114300" simplePos="0" relativeHeight="251660288" behindDoc="0" locked="0" layoutInCell="1" allowOverlap="1">
                <wp:simplePos x="0" y="0"/>
                <wp:positionH relativeFrom="column">
                  <wp:posOffset>3154045</wp:posOffset>
                </wp:positionH>
                <wp:positionV relativeFrom="paragraph">
                  <wp:posOffset>23495</wp:posOffset>
                </wp:positionV>
                <wp:extent cx="2528570" cy="2286000"/>
                <wp:effectExtent l="1270" t="4445" r="381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5E3" w:rsidRDefault="006B65E3" w:rsidP="008C28CE">
                            <w:pPr>
                              <w:pStyle w:val="Caption"/>
                              <w:jc w:val="left"/>
                              <w:rPr>
                                <w:color w:val="auto"/>
                              </w:rPr>
                            </w:pPr>
                            <w:r w:rsidRPr="00183100">
                              <w:rPr>
                                <w:color w:val="auto"/>
                              </w:rPr>
                              <w:t xml:space="preserve">Figure </w:t>
                            </w:r>
                            <w:r>
                              <w:rPr>
                                <w:color w:val="auto"/>
                              </w:rPr>
                              <w:t>4 (1 column)</w:t>
                            </w:r>
                            <w:r w:rsidRPr="00183100">
                              <w:rPr>
                                <w:color w:val="auto"/>
                              </w:rPr>
                              <w:t xml:space="preserve">: </w:t>
                            </w:r>
                            <w:r>
                              <w:rPr>
                                <w:color w:val="auto"/>
                              </w:rPr>
                              <w:t>Aesthetic value map based on a choice experiment among landscape visitors. Values on the map show the predicted probabilities from the choice model</w:t>
                            </w:r>
                            <w:r w:rsidRPr="00183100">
                              <w:rPr>
                                <w:color w:val="auto"/>
                              </w:rPr>
                              <w:t>.</w:t>
                            </w:r>
                            <w:r>
                              <w:rPr>
                                <w:color w:val="auto"/>
                              </w:rPr>
                              <w:t xml:space="preserve"> The predicted probabilities are determined by the presence of landscape attributes in a neighbourhood, depicting the visual landscape, around each cell. </w:t>
                            </w:r>
                          </w:p>
                          <w:p w:rsidR="006B65E3" w:rsidRDefault="006B65E3" w:rsidP="008C28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48.35pt;margin-top:1.85pt;width:199.1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" stroked="f">
                <v:textbox>
                  <w:txbxContent>
                    <w:p w:rsidR="006B65E3" w:rsidRDefault="006B65E3" w:rsidP="008C28CE">
                      <w:pPr>
                        <w:pStyle w:val="Caption"/>
                        <w:jc w:val="left"/>
                        <w:rPr>
                          <w:color w:val="auto"/>
                        </w:rPr>
                      </w:pPr>
                      <w:r w:rsidRPr="00183100">
                        <w:rPr>
                          <w:color w:val="auto"/>
                        </w:rPr>
                        <w:t xml:space="preserve">Figure </w:t>
                      </w:r>
                      <w:r>
                        <w:rPr>
                          <w:color w:val="auto"/>
                        </w:rPr>
                        <w:t>4 (1 column)</w:t>
                      </w:r>
                      <w:r w:rsidRPr="00183100">
                        <w:rPr>
                          <w:color w:val="auto"/>
                        </w:rPr>
                        <w:t xml:space="preserve">: </w:t>
                      </w:r>
                      <w:r>
                        <w:rPr>
                          <w:color w:val="auto"/>
                        </w:rPr>
                        <w:t>Aesthetic value map based on a choice experiment among landscape visitors. Values on the map show the predicted probabilities from the choice model</w:t>
                      </w:r>
                      <w:r w:rsidRPr="00183100">
                        <w:rPr>
                          <w:color w:val="auto"/>
                        </w:rPr>
                        <w:t>.</w:t>
                      </w:r>
                      <w:r>
                        <w:rPr>
                          <w:color w:val="auto"/>
                        </w:rPr>
                        <w:t xml:space="preserve"> The predicted probabilities are determined by the presence of landscape attributes in a neighbourhood, depicting the visual landscape, around each cell. </w:t>
                      </w:r>
                    </w:p>
                    <w:p w:rsidR="006B65E3" w:rsidRDefault="006B65E3" w:rsidP="008C28CE"/>
                  </w:txbxContent>
                </v:textbox>
              </v:shape>
            </w:pict>
          </mc:Fallback>
        </mc:AlternateContent>
      </w:r>
      <w:r>
        <w:rPr>
          <w:noProof/>
          <w:sz w:val="20"/>
          <w:lang w:val="en-IE" w:eastAsia="en-IE"/>
        </w:rPr>
        <w:drawing>
          <wp:inline distT="0" distB="0" distL="0" distR="0">
            <wp:extent cx="3088640" cy="2364105"/>
            <wp:effectExtent l="0" t="0" r="0" b="0"/>
            <wp:docPr id="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7">
                      <a:extLst>
                        <a:ext uri="{28A0092B-C50C-407E-A947-70E740481C1C}">
                          <a14:useLocalDpi xmlns:a14="http://schemas.microsoft.com/office/drawing/2010/main" val="0"/>
                        </a:ext>
                      </a:extLst>
                    </a:blip>
                    <a:srcRect t="3677"/>
                    <a:stretch>
                      <a:fillRect/>
                    </a:stretch>
                  </pic:blipFill>
                  <pic:spPr bwMode="auto">
                    <a:xfrm>
                      <a:off x="0" y="0"/>
                      <a:ext cx="3088640" cy="2364105"/>
                    </a:xfrm>
                    <a:prstGeom prst="rect">
                      <a:avLst/>
                    </a:prstGeom>
                    <a:noFill/>
                    <a:ln>
                      <a:noFill/>
                    </a:ln>
                  </pic:spPr>
                </pic:pic>
              </a:graphicData>
            </a:graphic>
          </wp:inline>
        </w:drawing>
      </w:r>
    </w:p>
    <w:p w:rsidR="003F789A" w:rsidRDefault="003F789A" w:rsidP="008C28CE">
      <w:pPr>
        <w:spacing w:line="360" w:lineRule="auto"/>
        <w:rPr>
          <w:sz w:val="20"/>
        </w:rPr>
      </w:pPr>
      <w:r w:rsidRPr="004B458C">
        <w:rPr>
          <w:sz w:val="20"/>
        </w:rPr>
        <w:t xml:space="preserve">Figure 4 shows the aesthetic value map that was developed using the results of the approach developed for this study. The map displays the stretched values of the predicted probabilities of the different landscape alternatives. The red areas on the map represent high values. These are areas with the most preferred combination of landscape attributes in the visual landscape. In the south and south-east of the case study area, the highest concentration of high values is found. Comparing Figure 4 with </w:t>
      </w:r>
      <w:r>
        <w:rPr>
          <w:sz w:val="20"/>
        </w:rPr>
        <w:t>map of landscape attributes</w:t>
      </w:r>
      <w:r w:rsidRPr="004B458C">
        <w:rPr>
          <w:sz w:val="20"/>
        </w:rPr>
        <w:t>, we can conclude that the high concentration in the south and southeast of the area is a result of a combination of a high level of hedges and tree lines, presence of livestock and forest patches. In several other places in the area, we find clusters of low values. For instance, the absence of livestock in the eastern part of the area causes an elongated area of low values in the aesthetic value map. Also, the absence of hedgerows and tree lines and forest patches in western parts of the area clearly results in a clustering of low values</w:t>
      </w:r>
    </w:p>
    <w:p w:rsidR="003F789A" w:rsidRPr="004B458C" w:rsidRDefault="003F789A" w:rsidP="008C28CE">
      <w:pPr>
        <w:spacing w:line="360" w:lineRule="auto"/>
        <w:rPr>
          <w:sz w:val="20"/>
          <w:highlight w:val="yellow"/>
        </w:rPr>
      </w:pPr>
    </w:p>
    <w:p w:rsidR="003F789A" w:rsidRPr="00BD5483" w:rsidRDefault="003F789A" w:rsidP="00BD5483">
      <w:pPr>
        <w:rPr>
          <w:b/>
          <w:sz w:val="20"/>
        </w:rPr>
      </w:pPr>
      <w:r w:rsidRPr="00BD5483">
        <w:rPr>
          <w:b/>
          <w:sz w:val="20"/>
        </w:rPr>
        <w:t xml:space="preserve">Comparison of mapping methods </w:t>
      </w:r>
    </w:p>
    <w:p w:rsidR="003F789A" w:rsidRDefault="003F789A" w:rsidP="001C42D8">
      <w:pPr>
        <w:rPr>
          <w:b/>
          <w:sz w:val="20"/>
        </w:rPr>
      </w:pPr>
    </w:p>
    <w:p w:rsidR="003F789A" w:rsidRPr="001C42D8" w:rsidRDefault="003F789A" w:rsidP="001C42D8">
      <w:pPr>
        <w:rPr>
          <w:b/>
          <w:i/>
          <w:sz w:val="20"/>
        </w:rPr>
      </w:pPr>
      <w:r w:rsidRPr="001C42D8">
        <w:rPr>
          <w:b/>
          <w:i/>
          <w:sz w:val="20"/>
        </w:rPr>
        <w:lastRenderedPageBreak/>
        <w:t xml:space="preserve">Qualitative comparison </w:t>
      </w:r>
    </w:p>
    <w:p w:rsidR="003F789A" w:rsidRPr="004B458C" w:rsidRDefault="003F789A" w:rsidP="008C28CE">
      <w:pPr>
        <w:spacing w:line="360" w:lineRule="auto"/>
        <w:rPr>
          <w:sz w:val="20"/>
        </w:rPr>
      </w:pPr>
      <w:r w:rsidRPr="004B458C">
        <w:rPr>
          <w:sz w:val="20"/>
        </w:rPr>
        <w:t xml:space="preserve">To qualitatively compare aesthetic value patterns, we conduct a hotspot analysis on maps produced using the choice experiment method, the ES-matrix and land-cover method </w:t>
      </w:r>
      <w:r w:rsidRPr="004B458C">
        <w:rPr>
          <w:sz w:val="20"/>
        </w:rPr>
        <w:fldChar w:fldCharType="begin" w:fldLock="1"/>
      </w:r>
      <w:r w:rsidRPr="004B458C">
        <w:rPr>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"mendeley" : { "formattedCitation" : "(Burkhard et al., 2009)", "plainTextFormattedCitation" : "(Burkhard et al., 2009)", "previouslyFormattedCitation" : "(Burkhard et al., 2009)" }, "properties" : { "noteIndex" : 0 }, "schema" : "https://github.com/citation-style-language/schema/raw/master/csl-citation.json" }</w:instrText>
      </w:r>
      <w:r w:rsidRPr="004B458C">
        <w:rPr>
          <w:sz w:val="20"/>
        </w:rPr>
        <w:fldChar w:fldCharType="separate"/>
      </w:r>
      <w:r w:rsidRPr="004B458C">
        <w:rPr>
          <w:noProof/>
          <w:sz w:val="20"/>
        </w:rPr>
        <w:t>(Burkhard et al., 2009)</w:t>
      </w:r>
      <w:r w:rsidRPr="004B458C">
        <w:rPr>
          <w:sz w:val="20"/>
        </w:rPr>
        <w:fldChar w:fldCharType="end"/>
      </w:r>
      <w:r w:rsidRPr="004B458C">
        <w:rPr>
          <w:sz w:val="20"/>
        </w:rPr>
        <w:t xml:space="preserve">, and the landscape features method and landscape structure and composition method </w:t>
      </w:r>
      <w:r w:rsidRPr="004B458C">
        <w:rPr>
          <w:sz w:val="20"/>
        </w:rPr>
        <w:fldChar w:fldCharType="begin" w:fldLock="1"/>
      </w:r>
      <w:r w:rsidRPr="004B458C">
        <w:rPr>
          <w:sz w:val="20"/>
        </w:rPr>
        <w:instrText>ADDIN CSL_CITATION { "citationItems" : [ { "id" : "ITEM-1",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"ITEM-1",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"(van Berkel and Verburg, 2014)", "plainTextFormattedCitation" : "(van Berkel and Verburg, 2014)", "previouslyFormattedCitation" : "(van Berkel and Verburg, 2014)" }, "properties" : { "noteIndex" : 0 }, "schema" : "https://github.com/citation-style-language/schema/raw/master/csl-citation.json" }</w:instrText>
      </w:r>
      <w:r w:rsidRPr="004B458C">
        <w:rPr>
          <w:sz w:val="20"/>
        </w:rPr>
        <w:fldChar w:fldCharType="separate"/>
      </w:r>
      <w:r w:rsidRPr="004B458C">
        <w:rPr>
          <w:noProof/>
          <w:sz w:val="20"/>
        </w:rPr>
        <w:t>(van Berkel and Verburg, 2014)</w:t>
      </w:r>
      <w:r w:rsidRPr="004B458C">
        <w:rPr>
          <w:sz w:val="20"/>
        </w:rPr>
        <w:fldChar w:fldCharType="end"/>
      </w:r>
      <w:r w:rsidRPr="004B458C">
        <w:rPr>
          <w:sz w:val="20"/>
        </w:rPr>
        <w:t xml:space="preserve">. The map shows the </w:t>
      </w:r>
      <w:proofErr w:type="spellStart"/>
      <w:r w:rsidRPr="004B458C">
        <w:rPr>
          <w:sz w:val="20"/>
        </w:rPr>
        <w:t>Getis</w:t>
      </w:r>
      <w:proofErr w:type="spellEnd"/>
      <w:r w:rsidRPr="004B458C">
        <w:rPr>
          <w:sz w:val="20"/>
        </w:rPr>
        <w:t xml:space="preserve">-Ord </w:t>
      </w:r>
      <w:proofErr w:type="spellStart"/>
      <w:r w:rsidRPr="004B458C">
        <w:rPr>
          <w:sz w:val="20"/>
        </w:rPr>
        <w:t>Gi</w:t>
      </w:r>
      <w:proofErr w:type="spellEnd"/>
      <w:r w:rsidRPr="004B458C">
        <w:rPr>
          <w:sz w:val="20"/>
        </w:rPr>
        <w:t xml:space="preserve">* Z-scores (Figure </w:t>
      </w:r>
      <w:r>
        <w:rPr>
          <w:sz w:val="20"/>
        </w:rPr>
        <w:t>3</w:t>
      </w:r>
      <w:r w:rsidRPr="004B458C">
        <w:rPr>
          <w:sz w:val="20"/>
        </w:rPr>
        <w:t>). The red areas signify the hotspots on the map and blue areas show the cold spots. The Z-score is the standard deviation of preference estimates in the cluster. If Z-scores are &gt; 2.58, values in the cluster are &gt;2.58 times the standard deviation.</w:t>
      </w:r>
    </w:p>
    <w:p w:rsidR="003F789A" w:rsidRPr="004B458C" w:rsidRDefault="008C4819" w:rsidP="008C28CE">
      <w:pPr>
        <w:spacing w:line="360" w:lineRule="auto"/>
        <w:rPr>
          <w:sz w:val="20"/>
        </w:rPr>
      </w:pPr>
      <w:r>
        <w:rPr>
          <w:noProof/>
          <w:lang w:val="en-IE" w:eastAsia="en-IE"/>
        </w:rPr>
        <mc:AlternateContent>
          <mc:Choice Requires="wps">
            <w:drawing>
              <wp:anchor distT="0" distB="0" distL="114300" distR="114300" simplePos="0" relativeHeight="251661312" behindDoc="0" locked="0" layoutInCell="1" allowOverlap="1">
                <wp:simplePos x="0" y="0"/>
                <wp:positionH relativeFrom="column">
                  <wp:posOffset>5029200</wp:posOffset>
                </wp:positionH>
                <wp:positionV relativeFrom="paragraph">
                  <wp:posOffset>43180</wp:posOffset>
                </wp:positionV>
                <wp:extent cx="1371600" cy="2628900"/>
                <wp:effectExtent l="0" t="0" r="0" b="444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5E3" w:rsidRDefault="006B65E3" w:rsidP="008C28CE">
                            <w:pPr>
                              <w:pStyle w:val="Caption"/>
                              <w:rPr>
                                <w:color w:val="auto"/>
                              </w:rPr>
                            </w:pPr>
                            <w:r w:rsidRPr="00183100">
                              <w:rPr>
                                <w:color w:val="auto"/>
                              </w:rPr>
                              <w:t xml:space="preserve">Figure </w:t>
                            </w:r>
                            <w:r>
                              <w:rPr>
                                <w:color w:val="auto"/>
                              </w:rPr>
                              <w:t>3</w:t>
                            </w:r>
                            <w:r w:rsidRPr="00183100">
                              <w:rPr>
                                <w:color w:val="auto"/>
                              </w:rPr>
                              <w:t>: A hotspot analysis of the cultural ecosystem service map based on the choice experiment and three other landscape scale generic feature mapping approaches</w:t>
                            </w:r>
                            <w:r>
                              <w:rPr>
                                <w:color w:val="auto"/>
                              </w:rPr>
                              <w:t xml:space="preserve"> for cultural ecosystem services.</w:t>
                            </w:r>
                          </w:p>
                          <w:p w:rsidR="006B65E3" w:rsidRDefault="006B65E3" w:rsidP="008C28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96pt;margin-top:3.4pt;width:108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" stroked="f">
                <v:textbox>
                  <w:txbxContent>
                    <w:p w:rsidR="006B65E3" w:rsidRDefault="006B65E3" w:rsidP="008C28CE">
                      <w:pPr>
                        <w:pStyle w:val="Caption"/>
                        <w:rPr>
                          <w:color w:val="auto"/>
                        </w:rPr>
                      </w:pPr>
                      <w:r w:rsidRPr="00183100">
                        <w:rPr>
                          <w:color w:val="auto"/>
                        </w:rPr>
                        <w:t xml:space="preserve">Figure </w:t>
                      </w:r>
                      <w:r>
                        <w:rPr>
                          <w:color w:val="auto"/>
                        </w:rPr>
                        <w:t>3</w:t>
                      </w:r>
                      <w:r w:rsidRPr="00183100">
                        <w:rPr>
                          <w:color w:val="auto"/>
                        </w:rPr>
                        <w:t>: A hotspot analysis of the cultural ecosystem service map based on the choice experiment and three other landscape scale generic feature mapping approaches</w:t>
                      </w:r>
                      <w:r>
                        <w:rPr>
                          <w:color w:val="auto"/>
                        </w:rPr>
                        <w:t xml:space="preserve"> for cultural ecosystem services.</w:t>
                      </w:r>
                    </w:p>
                    <w:p w:rsidR="006B65E3" w:rsidRDefault="006B65E3" w:rsidP="008C28CE"/>
                  </w:txbxContent>
                </v:textbox>
              </v:shape>
            </w:pict>
          </mc:Fallback>
        </mc:AlternateContent>
      </w:r>
      <w:r>
        <w:rPr>
          <w:noProof/>
          <w:sz w:val="20"/>
          <w:lang w:val="en-IE" w:eastAsia="en-IE"/>
        </w:rPr>
        <w:drawing>
          <wp:inline distT="0" distB="0" distL="0" distR="0">
            <wp:extent cx="4839335" cy="3902710"/>
            <wp:effectExtent l="0" t="0" r="0" b="2540"/>
            <wp:docPr id="4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8">
                      <a:extLst>
                        <a:ext uri="{28A0092B-C50C-407E-A947-70E740481C1C}">
                          <a14:useLocalDpi xmlns:a14="http://schemas.microsoft.com/office/drawing/2010/main" val="0"/>
                        </a:ext>
                      </a:extLst>
                    </a:blip>
                    <a:srcRect l="3769" t="3442" r="3459" b="3085"/>
                    <a:stretch>
                      <a:fillRect/>
                    </a:stretch>
                  </pic:blipFill>
                  <pic:spPr bwMode="auto">
                    <a:xfrm>
                      <a:off x="0" y="0"/>
                      <a:ext cx="4839335" cy="3902710"/>
                    </a:xfrm>
                    <a:prstGeom prst="rect">
                      <a:avLst/>
                    </a:prstGeom>
                    <a:noFill/>
                    <a:ln>
                      <a:noFill/>
                    </a:ln>
                  </pic:spPr>
                </pic:pic>
              </a:graphicData>
            </a:graphic>
          </wp:inline>
        </w:drawing>
      </w:r>
    </w:p>
    <w:p w:rsidR="003F789A" w:rsidRDefault="003F789A" w:rsidP="008C28CE">
      <w:pPr>
        <w:spacing w:line="360" w:lineRule="auto"/>
        <w:rPr>
          <w:sz w:val="20"/>
        </w:rPr>
      </w:pPr>
      <w:r w:rsidRPr="004B458C">
        <w:rPr>
          <w:sz w:val="20"/>
        </w:rPr>
        <w:t xml:space="preserve">The maps in Figure </w:t>
      </w:r>
      <w:r>
        <w:rPr>
          <w:sz w:val="20"/>
        </w:rPr>
        <w:t>3</w:t>
      </w:r>
      <w:r w:rsidRPr="004B458C">
        <w:rPr>
          <w:sz w:val="20"/>
        </w:rPr>
        <w:t xml:space="preserve"> have in common that they all identify hotspots in the small-scale agricultural landscapes with forest patches in the south and east of the case study area. In particular, the ES-matrix and land cover method and the landscape features method reveal a similar pattern of hotspots in the forested areas in the south and east. The choice experiment method also depicts a high number of hotspots in the south and east, but the configuration of those hotspots follows an inverse pattern compared with the pattern shown by the ES-matrix and land-cover method and landscape features method. This result can be explained by the high value attributed to forested areas by the latter two methods while the choice experiment revealed that visitors in the area mostly appreciate the small-scale agricultural areas that are enclosed by linear elements and forest patches. Except for the forested areas, the ES-matrix and land-cover method </w:t>
      </w:r>
      <w:r w:rsidRPr="004B458C">
        <w:rPr>
          <w:sz w:val="20"/>
        </w:rPr>
        <w:fldChar w:fldCharType="begin" w:fldLock="1"/>
      </w:r>
      <w:r w:rsidRPr="004B458C">
        <w:rPr>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"mendeley" : { "formattedCitation" : "(Burkhard et al., 2009)", "plainTextFormattedCitation" : "(Burkhard et al., 2009)", "previouslyFormattedCitation" : "(Burkhard et al., 2009)" }, "properties" : { "noteIndex" : 0 }, "schema" : "https://github.com/citation-style-language/schema/raw/master/csl-citation.json" }</w:instrText>
      </w:r>
      <w:r w:rsidRPr="004B458C">
        <w:rPr>
          <w:sz w:val="20"/>
        </w:rPr>
        <w:fldChar w:fldCharType="separate"/>
      </w:r>
      <w:r w:rsidRPr="004B458C">
        <w:rPr>
          <w:noProof/>
          <w:sz w:val="20"/>
        </w:rPr>
        <w:t>(Burkhard et al., 2009)</w:t>
      </w:r>
      <w:r w:rsidRPr="004B458C">
        <w:rPr>
          <w:sz w:val="20"/>
        </w:rPr>
        <w:fldChar w:fldCharType="end"/>
      </w:r>
      <w:r w:rsidRPr="004B458C">
        <w:rPr>
          <w:sz w:val="20"/>
        </w:rPr>
        <w:t xml:space="preserve"> hardly show similarities with the other mapping approaches. While the three other methods identify hotspots in the southern and eastern section of the case study area, the ES-matrix and land-cover method reveals large cold </w:t>
      </w:r>
      <w:r w:rsidRPr="004B458C">
        <w:rPr>
          <w:sz w:val="20"/>
        </w:rPr>
        <w:lastRenderedPageBreak/>
        <w:t xml:space="preserve">spots in these areas. This is because mosaic land-cover classes in CORINE (grid codes 20 and 21, </w:t>
      </w:r>
      <w:r w:rsidRPr="004B458C">
        <w:rPr>
          <w:sz w:val="20"/>
        </w:rPr>
        <w:fldChar w:fldCharType="begin" w:fldLock="1"/>
      </w:r>
      <w:r w:rsidRPr="004B458C">
        <w:rPr>
          <w:sz w:val="20"/>
        </w:rPr>
        <w:instrText>ADDIN CSL_CITATION { "citationItems" : [ { "id" : "ITEM-1", "itemData" : { "URL" : "http://www.eea.europa.eu/data-and-maps/data/corine-land-cover-2006-raster-2#tab-metadata", "accessed" : { "date-parts" : [ [ "2013", "10", "10" ] ] }, "author" : [ { "dropping-particle" : "", "family" : "EAA", "given" : "", "non-dropping-particle" : "", "parse-names" : false, "suffix" : "" } ], "id" : "ITEM-1", "issued" : { "date-parts" : [ [ "2012" ] ] }, "title" : "CORINE Land Cover 2006 raster data \u2013 100 m, version 16", "type" : "webpage" }, "uris" : [ "http://www.mendeley.com/documents/?uuid=1fdb154d-fa52-42a1-a25c-18fd47d031cc" ] } ], "mendeley" : { "formattedCitation" : "(EAA, 2012)", "manualFormatting" : "EAA, 2012)", "plainTextFormattedCitation" : "(EAA, 2012)", "previouslyFormattedCitation" : "(EAA, 2012)" }, "properties" : { "noteIndex" : 0 }, "schema" : "https://github.com/citation-style-language/schema/raw/master/csl-citation.json" }</w:instrText>
      </w:r>
      <w:r w:rsidRPr="004B458C">
        <w:rPr>
          <w:sz w:val="20"/>
        </w:rPr>
        <w:fldChar w:fldCharType="separate"/>
      </w:r>
      <w:r w:rsidRPr="004B458C">
        <w:rPr>
          <w:noProof/>
          <w:sz w:val="20"/>
        </w:rPr>
        <w:t>EAA, 2012)</w:t>
      </w:r>
      <w:r w:rsidRPr="004B458C">
        <w:rPr>
          <w:sz w:val="20"/>
        </w:rPr>
        <w:fldChar w:fldCharType="end"/>
      </w:r>
      <w:r w:rsidRPr="004B458C">
        <w:rPr>
          <w:sz w:val="20"/>
        </w:rPr>
        <w:t xml:space="preserve"> are assigned low values for aesthetic and recreational values in the ES-matrix, whereas the three other maps – which are based on primary data – show that these mosaic landscapes are actually hotspots of aesthetic values in the area. </w:t>
      </w:r>
    </w:p>
    <w:p w:rsidR="003F789A" w:rsidRPr="001C42D8" w:rsidRDefault="003F789A" w:rsidP="001C42D8">
      <w:pPr>
        <w:rPr>
          <w:b/>
          <w:i/>
          <w:sz w:val="20"/>
        </w:rPr>
      </w:pPr>
      <w:bookmarkStart w:id="126" w:name="_Toc436915628"/>
      <w:r w:rsidRPr="001C42D8">
        <w:rPr>
          <w:b/>
          <w:i/>
          <w:sz w:val="20"/>
        </w:rPr>
        <w:t>Quantitative comparison</w:t>
      </w:r>
      <w:bookmarkEnd w:id="126"/>
    </w:p>
    <w:p w:rsidR="003F789A" w:rsidRPr="004B458C" w:rsidRDefault="003F789A" w:rsidP="008C28CE">
      <w:pPr>
        <w:spacing w:line="360" w:lineRule="auto"/>
        <w:rPr>
          <w:sz w:val="20"/>
        </w:rPr>
      </w:pPr>
      <w:r>
        <w:rPr>
          <w:sz w:val="20"/>
        </w:rPr>
        <w:t>W</w:t>
      </w:r>
      <w:r w:rsidRPr="004B458C">
        <w:rPr>
          <w:sz w:val="20"/>
        </w:rPr>
        <w:t xml:space="preserve">e compare the spatial configuration of agreement on hot and cold spots between the four different mapping methods. Areas of disagreement are evenly distributed over the case study area. As a measure of overall quantitative comparison between the maps, Table 2 presents the pairwise agreement on hot spots between the methods across the region. For instance, out of the hot spots identified by the ES-matrix and land cover method 83% overlaps with hot spots from the landscape feature method. Hot spots identified by the landscape features method overlap for 39% with hot spots from the landscape structure and composition method.          </w:t>
      </w:r>
    </w:p>
    <w:p w:rsidR="003F789A" w:rsidRDefault="008C4819" w:rsidP="008C28CE">
      <w:pPr>
        <w:spacing w:line="360" w:lineRule="auto"/>
        <w:rPr>
          <w:sz w:val="20"/>
        </w:rPr>
      </w:pPr>
      <w:r>
        <w:rPr>
          <w:noProof/>
          <w:sz w:val="20"/>
          <w:lang w:val="en-IE" w:eastAsia="en-IE"/>
        </w:rPr>
        <w:drawing>
          <wp:inline distT="0" distB="0" distL="0" distR="0">
            <wp:extent cx="4705985" cy="2430780"/>
            <wp:effectExtent l="0" t="0" r="0" b="7620"/>
            <wp:docPr id="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9">
                      <a:extLst>
                        <a:ext uri="{28A0092B-C50C-407E-A947-70E740481C1C}">
                          <a14:useLocalDpi xmlns:a14="http://schemas.microsoft.com/office/drawing/2010/main" val="0"/>
                        </a:ext>
                      </a:extLst>
                    </a:blip>
                    <a:srcRect l="1741" t="2190" r="1163" b="3009"/>
                    <a:stretch>
                      <a:fillRect/>
                    </a:stretch>
                  </pic:blipFill>
                  <pic:spPr bwMode="auto">
                    <a:xfrm>
                      <a:off x="0" y="0"/>
                      <a:ext cx="4705985" cy="2430780"/>
                    </a:xfrm>
                    <a:prstGeom prst="rect">
                      <a:avLst/>
                    </a:prstGeom>
                    <a:noFill/>
                    <a:ln>
                      <a:noFill/>
                    </a:ln>
                  </pic:spPr>
                </pic:pic>
              </a:graphicData>
            </a:graphic>
          </wp:inline>
        </w:drawing>
      </w:r>
    </w:p>
    <w:p w:rsidR="003F789A" w:rsidRDefault="003F789A" w:rsidP="00BD5483">
      <w:pPr>
        <w:pStyle w:val="Caption"/>
        <w:jc w:val="left"/>
        <w:rPr>
          <w:color w:val="auto"/>
        </w:rPr>
      </w:pPr>
      <w:r w:rsidRPr="004D7F79">
        <w:rPr>
          <w:color w:val="auto"/>
        </w:rPr>
        <w:t xml:space="preserve">Figure </w:t>
      </w:r>
      <w:r>
        <w:rPr>
          <w:color w:val="auto"/>
        </w:rPr>
        <w:t>4 (1.5 column)</w:t>
      </w:r>
      <w:r w:rsidRPr="004D7F79">
        <w:rPr>
          <w:color w:val="auto"/>
        </w:rPr>
        <w:t>: An agreement map of aesthetic values between the four mapping methods that are compared (a)) and an agreement map of aesthetic values betwe</w:t>
      </w:r>
      <w:r>
        <w:rPr>
          <w:color w:val="auto"/>
        </w:rPr>
        <w:t>en the choice experiment method</w:t>
      </w:r>
      <w:r w:rsidRPr="004D7F79">
        <w:rPr>
          <w:color w:val="auto"/>
        </w:rPr>
        <w:t xml:space="preserve"> and the density of </w:t>
      </w:r>
      <w:proofErr w:type="spellStart"/>
      <w:r w:rsidRPr="004D7F79">
        <w:rPr>
          <w:color w:val="auto"/>
        </w:rPr>
        <w:t>Panoramio</w:t>
      </w:r>
      <w:proofErr w:type="spellEnd"/>
      <w:r w:rsidRPr="004D7F79">
        <w:rPr>
          <w:color w:val="auto"/>
        </w:rPr>
        <w:t xml:space="preserve"> photo’s (b)). </w:t>
      </w:r>
      <w:r>
        <w:rPr>
          <w:color w:val="auto"/>
        </w:rPr>
        <w:t>The legend shows that g</w:t>
      </w:r>
      <w:r w:rsidRPr="004D7F79">
        <w:rPr>
          <w:color w:val="auto"/>
        </w:rPr>
        <w:t>reen areas indicate an agreement on hot spots</w:t>
      </w:r>
      <w:r>
        <w:rPr>
          <w:color w:val="auto"/>
        </w:rPr>
        <w:t xml:space="preserve"> (HS)</w:t>
      </w:r>
      <w:r w:rsidRPr="004D7F79">
        <w:rPr>
          <w:color w:val="auto"/>
        </w:rPr>
        <w:t>, whereas blue areas indicate agreement on cold spots</w:t>
      </w:r>
      <w:r>
        <w:rPr>
          <w:color w:val="auto"/>
        </w:rPr>
        <w:t xml:space="preserve"> (CS)</w:t>
      </w:r>
      <w:r w:rsidRPr="004D7F79">
        <w:rPr>
          <w:color w:val="auto"/>
        </w:rPr>
        <w:t xml:space="preserve">. Red areas signify places the in landscape where there is disagreement about hot and cold spots. </w:t>
      </w:r>
    </w:p>
    <w:p w:rsidR="003F789A" w:rsidRPr="004B458C" w:rsidRDefault="003F789A" w:rsidP="008C28CE">
      <w:pPr>
        <w:pStyle w:val="Caption"/>
        <w:keepNext/>
        <w:widowControl w:val="0"/>
        <w:spacing w:line="360" w:lineRule="auto"/>
        <w:rPr>
          <w:color w:val="auto"/>
        </w:rPr>
      </w:pPr>
      <w:r w:rsidRPr="004B458C">
        <w:rPr>
          <w:color w:val="auto"/>
        </w:rPr>
        <w:t>Table 3: The percentage overlap of hot spots with other methods in the comparison.</w:t>
      </w:r>
    </w:p>
    <w:tbl>
      <w:tblPr>
        <w:tblW w:w="5000" w:type="pct"/>
        <w:tblLayout w:type="fixed"/>
        <w:tblCellMar>
          <w:left w:w="70" w:type="dxa"/>
          <w:right w:w="70" w:type="dxa"/>
        </w:tblCellMar>
        <w:tblLook w:val="00A0" w:firstRow="1" w:lastRow="0" w:firstColumn="1" w:lastColumn="0" w:noHBand="0" w:noVBand="0"/>
      </w:tblPr>
      <w:tblGrid>
        <w:gridCol w:w="3472"/>
        <w:gridCol w:w="1285"/>
        <w:gridCol w:w="1131"/>
        <w:gridCol w:w="1907"/>
        <w:gridCol w:w="1371"/>
      </w:tblGrid>
      <w:tr w:rsidR="003F789A" w:rsidRPr="004B458C" w:rsidTr="008C28CE">
        <w:trPr>
          <w:trHeight w:val="300"/>
        </w:trPr>
        <w:tc>
          <w:tcPr>
            <w:tcW w:w="1894"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rPr>
                <w:b/>
                <w:color w:val="000000"/>
                <w:sz w:val="18"/>
                <w:szCs w:val="18"/>
                <w:lang w:eastAsia="nl-NL"/>
              </w:rPr>
            </w:pPr>
            <w:r w:rsidRPr="001C42D8">
              <w:rPr>
                <w:b/>
                <w:color w:val="000000"/>
                <w:sz w:val="18"/>
                <w:szCs w:val="18"/>
                <w:lang w:eastAsia="nl-NL"/>
              </w:rPr>
              <w:t xml:space="preserve">Method </w:t>
            </w:r>
            <w:r w:rsidRPr="001C42D8">
              <w:rPr>
                <w:b/>
                <w:i/>
                <w:color w:val="000000"/>
                <w:sz w:val="18"/>
                <w:szCs w:val="18"/>
                <w:lang w:eastAsia="nl-NL"/>
              </w:rPr>
              <w:t>(number of hot spot cells)</w:t>
            </w:r>
          </w:p>
        </w:tc>
        <w:tc>
          <w:tcPr>
            <w:tcW w:w="701"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b/>
                <w:bCs/>
                <w:color w:val="000000"/>
                <w:sz w:val="18"/>
                <w:szCs w:val="18"/>
                <w:lang w:eastAsia="nl-NL"/>
              </w:rPr>
            </w:pPr>
            <w:r w:rsidRPr="001C42D8">
              <w:rPr>
                <w:b/>
                <w:bCs/>
                <w:color w:val="000000"/>
                <w:sz w:val="18"/>
                <w:szCs w:val="18"/>
                <w:lang w:eastAsia="nl-NL"/>
              </w:rPr>
              <w:t>ES-matrix and land cover</w:t>
            </w:r>
          </w:p>
        </w:tc>
        <w:tc>
          <w:tcPr>
            <w:tcW w:w="617"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b/>
                <w:bCs/>
                <w:color w:val="000000"/>
                <w:sz w:val="18"/>
                <w:szCs w:val="18"/>
                <w:lang w:eastAsia="nl-NL"/>
              </w:rPr>
            </w:pPr>
            <w:r w:rsidRPr="001C42D8">
              <w:rPr>
                <w:b/>
                <w:bCs/>
                <w:color w:val="000000"/>
                <w:sz w:val="18"/>
                <w:szCs w:val="18"/>
                <w:lang w:eastAsia="nl-NL"/>
              </w:rPr>
              <w:t>Landscape</w:t>
            </w:r>
          </w:p>
          <w:p w:rsidR="003F789A" w:rsidRPr="001C42D8" w:rsidRDefault="003F789A" w:rsidP="008C28CE">
            <w:pPr>
              <w:keepNext/>
              <w:widowControl w:val="0"/>
              <w:spacing w:after="0" w:line="360" w:lineRule="auto"/>
              <w:jc w:val="right"/>
              <w:rPr>
                <w:b/>
                <w:bCs/>
                <w:color w:val="000000"/>
                <w:sz w:val="18"/>
                <w:szCs w:val="18"/>
                <w:lang w:eastAsia="nl-NL"/>
              </w:rPr>
            </w:pPr>
            <w:r w:rsidRPr="001C42D8">
              <w:rPr>
                <w:b/>
                <w:bCs/>
                <w:color w:val="000000"/>
                <w:sz w:val="18"/>
                <w:szCs w:val="18"/>
                <w:lang w:eastAsia="nl-NL"/>
              </w:rPr>
              <w:t>features</w:t>
            </w:r>
          </w:p>
        </w:tc>
        <w:tc>
          <w:tcPr>
            <w:tcW w:w="1040"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b/>
                <w:bCs/>
                <w:color w:val="000000"/>
                <w:sz w:val="18"/>
                <w:szCs w:val="18"/>
                <w:lang w:eastAsia="nl-NL"/>
              </w:rPr>
            </w:pPr>
            <w:r w:rsidRPr="001C42D8">
              <w:rPr>
                <w:b/>
                <w:bCs/>
                <w:color w:val="000000"/>
                <w:sz w:val="18"/>
                <w:szCs w:val="18"/>
                <w:lang w:eastAsia="nl-NL"/>
              </w:rPr>
              <w:t>Landscape structure and composition</w:t>
            </w:r>
          </w:p>
        </w:tc>
        <w:tc>
          <w:tcPr>
            <w:tcW w:w="748"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b/>
                <w:bCs/>
                <w:color w:val="000000"/>
                <w:sz w:val="18"/>
                <w:szCs w:val="18"/>
                <w:lang w:eastAsia="nl-NL"/>
              </w:rPr>
            </w:pPr>
            <w:r w:rsidRPr="001C42D8">
              <w:rPr>
                <w:b/>
                <w:bCs/>
                <w:color w:val="000000"/>
                <w:sz w:val="18"/>
                <w:szCs w:val="18"/>
                <w:lang w:eastAsia="nl-NL"/>
              </w:rPr>
              <w:t>Choice experiment</w:t>
            </w:r>
          </w:p>
        </w:tc>
      </w:tr>
      <w:tr w:rsidR="003F789A" w:rsidRPr="004B458C" w:rsidTr="008C28CE">
        <w:trPr>
          <w:trHeight w:val="300"/>
        </w:trPr>
        <w:tc>
          <w:tcPr>
            <w:tcW w:w="1894" w:type="pct"/>
            <w:tcBorders>
              <w:top w:val="single" w:sz="4" w:space="0" w:color="auto"/>
              <w:left w:val="nil"/>
              <w:bottom w:val="nil"/>
              <w:right w:val="nil"/>
            </w:tcBorders>
            <w:noWrap/>
            <w:vAlign w:val="bottom"/>
          </w:tcPr>
          <w:p w:rsidR="003F789A" w:rsidRPr="001C42D8" w:rsidRDefault="003F789A" w:rsidP="008C28CE">
            <w:pPr>
              <w:keepNext/>
              <w:widowControl w:val="0"/>
              <w:spacing w:after="0" w:line="360" w:lineRule="auto"/>
              <w:rPr>
                <w:bCs/>
                <w:color w:val="000000"/>
                <w:sz w:val="18"/>
                <w:szCs w:val="18"/>
                <w:lang w:eastAsia="nl-NL"/>
              </w:rPr>
            </w:pPr>
            <w:r w:rsidRPr="001C42D8">
              <w:rPr>
                <w:bCs/>
                <w:color w:val="000000"/>
                <w:sz w:val="18"/>
                <w:szCs w:val="18"/>
                <w:lang w:eastAsia="nl-NL"/>
              </w:rPr>
              <w:t xml:space="preserve">ES-matrix and land cover </w:t>
            </w:r>
            <w:r w:rsidRPr="001C42D8">
              <w:rPr>
                <w:bCs/>
                <w:i/>
                <w:color w:val="000000"/>
                <w:sz w:val="18"/>
                <w:szCs w:val="18"/>
                <w:lang w:eastAsia="nl-NL"/>
              </w:rPr>
              <w:t>(1279)</w:t>
            </w:r>
          </w:p>
        </w:tc>
        <w:tc>
          <w:tcPr>
            <w:tcW w:w="701" w:type="pct"/>
            <w:tcBorders>
              <w:top w:val="single" w:sz="4" w:space="0" w:color="auto"/>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w:t>
            </w:r>
          </w:p>
        </w:tc>
        <w:tc>
          <w:tcPr>
            <w:tcW w:w="617" w:type="pct"/>
            <w:tcBorders>
              <w:top w:val="single" w:sz="4" w:space="0" w:color="auto"/>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83.11%</w:t>
            </w:r>
          </w:p>
        </w:tc>
        <w:tc>
          <w:tcPr>
            <w:tcW w:w="1040" w:type="pct"/>
            <w:tcBorders>
              <w:top w:val="single" w:sz="4" w:space="0" w:color="auto"/>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59.42%</w:t>
            </w:r>
          </w:p>
        </w:tc>
        <w:tc>
          <w:tcPr>
            <w:tcW w:w="748" w:type="pct"/>
            <w:tcBorders>
              <w:top w:val="single" w:sz="4" w:space="0" w:color="auto"/>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14.78%</w:t>
            </w:r>
          </w:p>
        </w:tc>
      </w:tr>
      <w:tr w:rsidR="003F789A" w:rsidRPr="004B458C" w:rsidTr="008C28CE">
        <w:trPr>
          <w:trHeight w:val="300"/>
        </w:trPr>
        <w:tc>
          <w:tcPr>
            <w:tcW w:w="1894" w:type="pct"/>
            <w:tcBorders>
              <w:top w:val="nil"/>
              <w:left w:val="nil"/>
              <w:bottom w:val="nil"/>
              <w:right w:val="nil"/>
            </w:tcBorders>
            <w:noWrap/>
            <w:vAlign w:val="bottom"/>
          </w:tcPr>
          <w:p w:rsidR="003F789A" w:rsidRPr="001C42D8" w:rsidRDefault="003F789A" w:rsidP="008C28CE">
            <w:pPr>
              <w:keepNext/>
              <w:widowControl w:val="0"/>
              <w:spacing w:after="0" w:line="360" w:lineRule="auto"/>
              <w:rPr>
                <w:bCs/>
                <w:color w:val="000000"/>
                <w:sz w:val="18"/>
                <w:szCs w:val="18"/>
                <w:lang w:eastAsia="nl-NL"/>
              </w:rPr>
            </w:pPr>
            <w:r w:rsidRPr="001C42D8">
              <w:rPr>
                <w:bCs/>
                <w:color w:val="000000"/>
                <w:sz w:val="18"/>
                <w:szCs w:val="18"/>
                <w:lang w:eastAsia="nl-NL"/>
              </w:rPr>
              <w:t xml:space="preserve">Landscape features </w:t>
            </w:r>
            <w:r w:rsidRPr="001C42D8">
              <w:rPr>
                <w:bCs/>
                <w:i/>
                <w:color w:val="000000"/>
                <w:sz w:val="18"/>
                <w:szCs w:val="18"/>
                <w:lang w:eastAsia="nl-NL"/>
              </w:rPr>
              <w:t>(6613)</w:t>
            </w:r>
          </w:p>
        </w:tc>
        <w:tc>
          <w:tcPr>
            <w:tcW w:w="701" w:type="pct"/>
            <w:tcBorders>
              <w:top w:val="nil"/>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16.07%</w:t>
            </w:r>
          </w:p>
        </w:tc>
        <w:tc>
          <w:tcPr>
            <w:tcW w:w="617" w:type="pct"/>
            <w:tcBorders>
              <w:top w:val="nil"/>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w:t>
            </w:r>
          </w:p>
        </w:tc>
        <w:tc>
          <w:tcPr>
            <w:tcW w:w="1040" w:type="pct"/>
            <w:tcBorders>
              <w:top w:val="nil"/>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38.56%</w:t>
            </w:r>
          </w:p>
        </w:tc>
        <w:tc>
          <w:tcPr>
            <w:tcW w:w="748" w:type="pct"/>
            <w:tcBorders>
              <w:top w:val="nil"/>
              <w:left w:val="nil"/>
              <w:bottom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27.82%</w:t>
            </w:r>
          </w:p>
        </w:tc>
      </w:tr>
      <w:tr w:rsidR="003F789A" w:rsidRPr="004B458C" w:rsidTr="008C28CE">
        <w:trPr>
          <w:trHeight w:val="300"/>
        </w:trPr>
        <w:tc>
          <w:tcPr>
            <w:tcW w:w="1894" w:type="pct"/>
            <w:tcBorders>
              <w:top w:val="nil"/>
              <w:left w:val="nil"/>
              <w:right w:val="nil"/>
            </w:tcBorders>
            <w:noWrap/>
            <w:vAlign w:val="bottom"/>
          </w:tcPr>
          <w:p w:rsidR="003F789A" w:rsidRPr="001C42D8" w:rsidRDefault="003F789A" w:rsidP="008C28CE">
            <w:pPr>
              <w:keepNext/>
              <w:widowControl w:val="0"/>
              <w:spacing w:after="0" w:line="360" w:lineRule="auto"/>
              <w:rPr>
                <w:bCs/>
                <w:color w:val="000000"/>
                <w:sz w:val="18"/>
                <w:szCs w:val="18"/>
                <w:lang w:eastAsia="nl-NL"/>
              </w:rPr>
            </w:pPr>
            <w:r w:rsidRPr="001C42D8">
              <w:rPr>
                <w:bCs/>
                <w:color w:val="000000"/>
                <w:sz w:val="18"/>
                <w:szCs w:val="18"/>
                <w:lang w:eastAsia="nl-NL"/>
              </w:rPr>
              <w:t xml:space="preserve">Landscape structure and composition </w:t>
            </w:r>
            <w:r w:rsidRPr="001C42D8">
              <w:rPr>
                <w:bCs/>
                <w:i/>
                <w:color w:val="000000"/>
                <w:sz w:val="18"/>
                <w:szCs w:val="18"/>
                <w:lang w:eastAsia="nl-NL"/>
              </w:rPr>
              <w:t>(5208)</w:t>
            </w:r>
          </w:p>
        </w:tc>
        <w:tc>
          <w:tcPr>
            <w:tcW w:w="701" w:type="pct"/>
            <w:tcBorders>
              <w:top w:val="nil"/>
              <w:left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14.59%</w:t>
            </w:r>
          </w:p>
        </w:tc>
        <w:tc>
          <w:tcPr>
            <w:tcW w:w="617" w:type="pct"/>
            <w:tcBorders>
              <w:top w:val="nil"/>
              <w:left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48.96%</w:t>
            </w:r>
          </w:p>
        </w:tc>
        <w:tc>
          <w:tcPr>
            <w:tcW w:w="1040" w:type="pct"/>
            <w:tcBorders>
              <w:top w:val="nil"/>
              <w:left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w:t>
            </w:r>
          </w:p>
        </w:tc>
        <w:tc>
          <w:tcPr>
            <w:tcW w:w="748" w:type="pct"/>
            <w:tcBorders>
              <w:top w:val="nil"/>
              <w:left w:val="nil"/>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28.26%</w:t>
            </w:r>
          </w:p>
        </w:tc>
      </w:tr>
      <w:tr w:rsidR="003F789A" w:rsidRPr="004B458C" w:rsidTr="008C28CE">
        <w:trPr>
          <w:trHeight w:val="300"/>
        </w:trPr>
        <w:tc>
          <w:tcPr>
            <w:tcW w:w="1894"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rPr>
                <w:bCs/>
                <w:color w:val="000000"/>
                <w:sz w:val="18"/>
                <w:szCs w:val="18"/>
                <w:lang w:eastAsia="nl-NL"/>
              </w:rPr>
            </w:pPr>
            <w:r w:rsidRPr="001C42D8">
              <w:rPr>
                <w:bCs/>
                <w:color w:val="000000"/>
                <w:sz w:val="18"/>
                <w:szCs w:val="18"/>
                <w:lang w:eastAsia="nl-NL"/>
              </w:rPr>
              <w:t xml:space="preserve">Choice experiment </w:t>
            </w:r>
            <w:r w:rsidRPr="001C42D8">
              <w:rPr>
                <w:bCs/>
                <w:i/>
                <w:color w:val="000000"/>
                <w:sz w:val="18"/>
                <w:szCs w:val="18"/>
                <w:lang w:eastAsia="nl-NL"/>
              </w:rPr>
              <w:t>(5049)</w:t>
            </w:r>
          </w:p>
        </w:tc>
        <w:tc>
          <w:tcPr>
            <w:tcW w:w="701"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3.74%</w:t>
            </w:r>
          </w:p>
        </w:tc>
        <w:tc>
          <w:tcPr>
            <w:tcW w:w="617"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36.44%</w:t>
            </w:r>
          </w:p>
        </w:tc>
        <w:tc>
          <w:tcPr>
            <w:tcW w:w="1040"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29.15%</w:t>
            </w:r>
          </w:p>
        </w:tc>
        <w:tc>
          <w:tcPr>
            <w:tcW w:w="748" w:type="pct"/>
            <w:tcBorders>
              <w:top w:val="nil"/>
              <w:left w:val="nil"/>
              <w:bottom w:val="single" w:sz="4" w:space="0" w:color="auto"/>
              <w:right w:val="nil"/>
            </w:tcBorders>
            <w:noWrap/>
            <w:vAlign w:val="bottom"/>
          </w:tcPr>
          <w:p w:rsidR="003F789A" w:rsidRPr="001C42D8" w:rsidRDefault="003F789A" w:rsidP="008C28CE">
            <w:pPr>
              <w:keepNext/>
              <w:widowControl w:val="0"/>
              <w:spacing w:after="0" w:line="360" w:lineRule="auto"/>
              <w:jc w:val="right"/>
              <w:rPr>
                <w:color w:val="000000"/>
                <w:sz w:val="18"/>
                <w:szCs w:val="18"/>
                <w:lang w:eastAsia="nl-NL"/>
              </w:rPr>
            </w:pPr>
            <w:r w:rsidRPr="001C42D8">
              <w:rPr>
                <w:color w:val="000000"/>
                <w:sz w:val="18"/>
                <w:szCs w:val="18"/>
                <w:lang w:eastAsia="nl-NL"/>
              </w:rPr>
              <w:t>-</w:t>
            </w:r>
          </w:p>
        </w:tc>
      </w:tr>
    </w:tbl>
    <w:p w:rsidR="003F789A" w:rsidRDefault="003F789A" w:rsidP="008C28CE">
      <w:pPr>
        <w:spacing w:line="360" w:lineRule="auto"/>
        <w:rPr>
          <w:sz w:val="20"/>
        </w:rPr>
      </w:pPr>
    </w:p>
    <w:p w:rsidR="003F789A" w:rsidRPr="004B458C" w:rsidRDefault="003F789A" w:rsidP="008C28CE">
      <w:pPr>
        <w:spacing w:line="360" w:lineRule="auto"/>
        <w:rPr>
          <w:sz w:val="20"/>
        </w:rPr>
      </w:pPr>
      <w:r w:rsidRPr="004B458C">
        <w:rPr>
          <w:sz w:val="20"/>
        </w:rPr>
        <w:lastRenderedPageBreak/>
        <w:t>To describe the differences between the methods with respect to spatial clustering of aesthetic values, we conduct an incremental spatial autocorrelation analysis. The lowest level of spatial autocorrelation between 100-600 meters around cells is found for the ES-matrix and land-cover method and the landscape features method. Above the 600 meter increment, the choice experiment method has a lower spatial autocorrelation than the landscape features method.</w:t>
      </w:r>
    </w:p>
    <w:p w:rsidR="003F789A" w:rsidRDefault="003F789A" w:rsidP="00BD5483">
      <w:pPr>
        <w:rPr>
          <w:b/>
          <w:sz w:val="20"/>
        </w:rPr>
      </w:pPr>
    </w:p>
    <w:p w:rsidR="003F789A" w:rsidRPr="00BD5483" w:rsidRDefault="003F789A" w:rsidP="00BD5483">
      <w:pPr>
        <w:rPr>
          <w:b/>
          <w:sz w:val="20"/>
        </w:rPr>
      </w:pPr>
      <w:r w:rsidRPr="00BD5483">
        <w:rPr>
          <w:b/>
          <w:sz w:val="20"/>
        </w:rPr>
        <w:t xml:space="preserve">Comparison to revealed preferences </w:t>
      </w:r>
    </w:p>
    <w:p w:rsidR="003F789A" w:rsidRDefault="003F789A" w:rsidP="008C28CE">
      <w:pPr>
        <w:spacing w:line="360" w:lineRule="auto"/>
        <w:rPr>
          <w:sz w:val="20"/>
        </w:rPr>
      </w:pPr>
      <w:r>
        <w:rPr>
          <w:sz w:val="20"/>
        </w:rPr>
        <w:t>W</w:t>
      </w:r>
      <w:r w:rsidRPr="004B458C">
        <w:rPr>
          <w:sz w:val="20"/>
        </w:rPr>
        <w:t xml:space="preserve">e compare a hotspot map of the choice experiment method with the </w:t>
      </w:r>
      <w:proofErr w:type="spellStart"/>
      <w:r w:rsidRPr="004B458C">
        <w:rPr>
          <w:sz w:val="20"/>
        </w:rPr>
        <w:t>Panoramio</w:t>
      </w:r>
      <w:proofErr w:type="spellEnd"/>
      <w:r w:rsidRPr="004B458C">
        <w:rPr>
          <w:sz w:val="20"/>
        </w:rPr>
        <w:t xml:space="preserve"> photo-density map. The photo-density map is classified based on seven quantiles of the distribution. In total, our dataset consists of 1595 photo’s that have been uploaded by 253 users. When we only consider the number of unique user uploads per unit area, 660 observations remain. We observe similar patterns of hot- and cold spots in the two maps. In both maps, there is a high concentration of hotspots in the south and southeast of the area. Especially the cluster just south of the town of </w:t>
      </w:r>
      <w:proofErr w:type="spellStart"/>
      <w:r w:rsidRPr="004B458C">
        <w:rPr>
          <w:sz w:val="20"/>
        </w:rPr>
        <w:t>Winterswijk</w:t>
      </w:r>
      <w:proofErr w:type="spellEnd"/>
      <w:r w:rsidRPr="004B458C">
        <w:rPr>
          <w:sz w:val="20"/>
        </w:rPr>
        <w:t xml:space="preserve"> (the large white area in the </w:t>
      </w:r>
      <w:proofErr w:type="spellStart"/>
      <w:r w:rsidRPr="004B458C">
        <w:rPr>
          <w:sz w:val="20"/>
        </w:rPr>
        <w:t>center</w:t>
      </w:r>
      <w:proofErr w:type="spellEnd"/>
      <w:r w:rsidRPr="004B458C">
        <w:rPr>
          <w:sz w:val="20"/>
        </w:rPr>
        <w:t xml:space="preserve"> of the map) shows remarkable similarities. A clear difference is seen in the far southeast corner of the study area where based on the choice experiment we find a high landscape preference while only few </w:t>
      </w:r>
      <w:proofErr w:type="spellStart"/>
      <w:r w:rsidRPr="004B458C">
        <w:rPr>
          <w:sz w:val="20"/>
        </w:rPr>
        <w:t>Panoramio</w:t>
      </w:r>
      <w:proofErr w:type="spellEnd"/>
      <w:r w:rsidRPr="004B458C">
        <w:rPr>
          <w:sz w:val="20"/>
        </w:rPr>
        <w:t xml:space="preserve"> photos are taken in this area. Also, smaller hotspots in the northwest and southwest of the case study area reveal similar patterns in the two maps. With regard to cold spots, we observe a relatively similar pattern in the eastern and north</w:t>
      </w:r>
      <w:r>
        <w:rPr>
          <w:sz w:val="20"/>
        </w:rPr>
        <w:t>-</w:t>
      </w:r>
      <w:r w:rsidRPr="004B458C">
        <w:rPr>
          <w:sz w:val="20"/>
        </w:rPr>
        <w:t xml:space="preserve">eastern area. </w:t>
      </w:r>
    </w:p>
    <w:p w:rsidR="003F789A" w:rsidRPr="004B458C" w:rsidRDefault="003F789A" w:rsidP="008C28CE">
      <w:pPr>
        <w:spacing w:line="360" w:lineRule="auto"/>
        <w:rPr>
          <w:sz w:val="20"/>
        </w:rPr>
      </w:pPr>
    </w:p>
    <w:p w:rsidR="003F789A" w:rsidRPr="004B458C" w:rsidRDefault="003F789A" w:rsidP="006D566F">
      <w:pPr>
        <w:pStyle w:val="Heading3"/>
        <w:numPr>
          <w:ilvl w:val="2"/>
          <w:numId w:val="39"/>
        </w:numPr>
      </w:pPr>
      <w:r>
        <w:t xml:space="preserve"> </w:t>
      </w:r>
      <w:bookmarkStart w:id="127" w:name="_Toc436915629"/>
      <w:bookmarkStart w:id="128" w:name="_Toc436916068"/>
      <w:r w:rsidRPr="004B458C">
        <w:t>Discussion</w:t>
      </w:r>
      <w:bookmarkEnd w:id="127"/>
      <w:bookmarkEnd w:id="128"/>
    </w:p>
    <w:p w:rsidR="003F789A" w:rsidRDefault="003F789A" w:rsidP="00BD5483">
      <w:pPr>
        <w:rPr>
          <w:b/>
          <w:sz w:val="20"/>
        </w:rPr>
      </w:pPr>
    </w:p>
    <w:p w:rsidR="003F789A" w:rsidRPr="00BD5483" w:rsidRDefault="003F789A" w:rsidP="00BD5483">
      <w:pPr>
        <w:rPr>
          <w:b/>
          <w:sz w:val="20"/>
        </w:rPr>
      </w:pPr>
      <w:r w:rsidRPr="00BD5483">
        <w:rPr>
          <w:b/>
          <w:sz w:val="20"/>
        </w:rPr>
        <w:t>Applicability of the method outside the case study area</w:t>
      </w:r>
    </w:p>
    <w:p w:rsidR="003F789A" w:rsidRDefault="003F789A" w:rsidP="008C28CE">
      <w:pPr>
        <w:spacing w:line="360" w:lineRule="auto"/>
        <w:rPr>
          <w:sz w:val="20"/>
        </w:rPr>
      </w:pPr>
      <w:r w:rsidRPr="004B458C">
        <w:rPr>
          <w:sz w:val="20"/>
        </w:rPr>
        <w:t>The method presented in this paper provides a novel approach for mapping the aesthetic values of the landscape, as a component of cultural ecosystem services, by accounting for the stated preferences of respondents. The approach may be applied to regions of different size as long as they are relatively homogeneous in landscape features and user groups. For diverse landscapes it may be difficult to construct a choice experiment that consistently represents all landscape features. In case of strong variation in user groups a more detailed sampling approach across the region may be needed.</w:t>
      </w:r>
    </w:p>
    <w:p w:rsidR="003F789A" w:rsidRPr="004B458C" w:rsidRDefault="003F789A" w:rsidP="008C28CE">
      <w:pPr>
        <w:spacing w:line="360" w:lineRule="auto"/>
        <w:rPr>
          <w:sz w:val="20"/>
        </w:rPr>
      </w:pPr>
    </w:p>
    <w:p w:rsidR="003F789A" w:rsidRPr="004B458C" w:rsidRDefault="003F789A" w:rsidP="008C28CE">
      <w:pPr>
        <w:spacing w:line="360" w:lineRule="auto"/>
        <w:rPr>
          <w:sz w:val="20"/>
        </w:rPr>
      </w:pPr>
      <w:r w:rsidRPr="004B458C">
        <w:rPr>
          <w:sz w:val="20"/>
        </w:rPr>
        <w:t xml:space="preserve">The approach can be made specific to different groups of landscape users. In our case study we focused on visitors as they are very important to the regional economy and largely attracted by the visual quality of the landscape in our case study area </w:t>
      </w:r>
      <w:r w:rsidRPr="004B458C">
        <w:rPr>
          <w:sz w:val="20"/>
        </w:rPr>
        <w:fldChar w:fldCharType="begin" w:fldLock="1"/>
      </w:r>
      <w:r w:rsidRPr="004B458C">
        <w:rPr>
          <w:sz w:val="20"/>
        </w:rPr>
        <w:instrText>ADDIN CSL_CITATION { "citationItems" : [ { "id" : "ITEM-1", "itemData" : { "ISBN" : "9789174732061", "author" : [ { "dropping-particle" : "", "family" : "B\u00e4cklund", "given" : "AK", "non-dropping-particle" : "", "parse-names" : false, "suffix" : "" }, { "dropping-particle" : "", "family" : "Schenk", "given" : "A", "non-dropping-particle" : "", "parse-names" : false, "suffix" : "" }, { "dropping-particle" : "", "family" : "Atger", "given" : "F", "non-dropping-particle" : "", "parse-names" : false, "suffix" : "" } ], "container-title" : "Research Reports in Human Geography", "id" : "ITEM-1", "issued" : { "date-parts" : [ [ "2011" ] ] }, "title" : "Understanding European Regional Diversity-Lessons learned from Case Studies", "type" : "report" }, "uris" : [ "http://www.mendeley.com/documents/?uuid=d253bdc9-9c5c-4f64-b3ce-c5dd0bad8596" ] }, { "id" : "ITEM-2",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"ITEM-2",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"(B\u00e4cklund et al., 2011; van Berkel and Verburg, 2014)", "plainTextFormattedCitation" : "(B\u00e4cklund et al., 2011; van Berkel and Verburg, 2014)", "previouslyFormattedCitation" : "(B\u00e4cklund et al., 2011; van Berkel and Verburg, 2014)" }, "properties" : { "noteIndex" : 0 }, "schema" : "https://github.com/citation-style-language/schema/raw/master/csl-citation.json" }</w:instrText>
      </w:r>
      <w:r w:rsidRPr="004B458C">
        <w:rPr>
          <w:sz w:val="20"/>
        </w:rPr>
        <w:fldChar w:fldCharType="separate"/>
      </w:r>
      <w:r w:rsidRPr="004B458C">
        <w:rPr>
          <w:noProof/>
          <w:sz w:val="20"/>
        </w:rPr>
        <w:t>(Bäcklund et al., 2011; van Berkel and Verburg, 2014)</w:t>
      </w:r>
      <w:r w:rsidRPr="004B458C">
        <w:rPr>
          <w:sz w:val="20"/>
        </w:rPr>
        <w:fldChar w:fldCharType="end"/>
      </w:r>
      <w:r w:rsidRPr="004B458C">
        <w:rPr>
          <w:sz w:val="20"/>
        </w:rPr>
        <w:t xml:space="preserve">. However, this method can also be applied to samples of local residents and, by comparing maps, areas of conflicting landscape preferences between user groups may be identified. Alternatively, this method can be combined with scenario analysis of landscape change </w:t>
      </w:r>
      <w:r w:rsidRPr="004B458C">
        <w:rPr>
          <w:sz w:val="20"/>
        </w:rPr>
        <w:fldChar w:fldCharType="begin" w:fldLock="1"/>
      </w:r>
      <w:r w:rsidRPr="004B458C">
        <w:rPr>
          <w:sz w:val="20"/>
        </w:rPr>
        <w:instrText>ADDIN CSL_CITATION { "citationItems" : [ { "id" : "ITEM-1", "itemData" : { "DOI" : "10.1007/s10980-012-9730-7", "ISSN" : "0921-2973", "author" : [ { "dropping-particle" : "", "family" : "Berkel", "given" : "Derek B.", "non-dropping-particle" : "van", "parse-names" : false, "suffix" : "" }, { "dropping-particle" : "", "family" : "Verburg", "given" : "Peter H.", "non-dropping-particle" : "", "parse-names" : false, "suffix" : "" } ], "container-title" : "Landscape Ecology", "id" : "ITEM-1", "issue" : "5", "issued" : { "date-parts" : [ [ "2012", "3", "20" ] ] }, "page" : "641-658", "title" : "Combining exploratory scenarios and participatory backcasting: using an agent-based model in participatory policy design for a multi-functional landscape", "type" : "article-journal", "volume" : "27" }, "uris" : [ "http://www.mendeley.com/documents/?uuid=bdc7d36c-a9c7-46ee-b8ad-874e801a338e" ] } ], "mendeley" : { "formattedCitation" : "(van Berkel and Verburg, 2012)", "plainTextFormattedCitation" : "(van Berkel and Verburg, 2012)", "previouslyFormattedCitation" : "(van Berkel and Verburg, 2012)" }, "properties" : { "noteIndex" : 0 }, "schema" : "https://github.com/citation-style-language/schema/raw/master/csl-citation.json" }</w:instrText>
      </w:r>
      <w:r w:rsidRPr="004B458C">
        <w:rPr>
          <w:sz w:val="20"/>
        </w:rPr>
        <w:fldChar w:fldCharType="separate"/>
      </w:r>
      <w:r w:rsidRPr="004B458C">
        <w:rPr>
          <w:noProof/>
          <w:sz w:val="20"/>
        </w:rPr>
        <w:t>(van Berkel and Verburg, 2012)</w:t>
      </w:r>
      <w:r w:rsidRPr="004B458C">
        <w:rPr>
          <w:sz w:val="20"/>
        </w:rPr>
        <w:fldChar w:fldCharType="end"/>
      </w:r>
      <w:r w:rsidRPr="004B458C">
        <w:rPr>
          <w:sz w:val="20"/>
        </w:rPr>
        <w:t xml:space="preserve"> exploring the effects of future LU/LC change in agricultural landscapes on its aesthetic values as perceived by user groups. </w:t>
      </w:r>
    </w:p>
    <w:p w:rsidR="003F789A" w:rsidRDefault="003F789A" w:rsidP="008C28CE">
      <w:pPr>
        <w:spacing w:line="360" w:lineRule="auto"/>
        <w:rPr>
          <w:sz w:val="20"/>
        </w:rPr>
      </w:pPr>
      <w:r w:rsidRPr="004B458C">
        <w:rPr>
          <w:sz w:val="20"/>
        </w:rPr>
        <w:lastRenderedPageBreak/>
        <w:t xml:space="preserve">The added value for policy making of the proposed method is that it allows measuring the contribution of specific features to the overall aesthetic value of the landscape. At the same time, it is required to define landscape features general enough to allow spatial extrapolation (i.e. mapping) of aesthetic values across the region of interest. This type of information potentially can help the design of regional </w:t>
      </w:r>
      <w:proofErr w:type="spellStart"/>
      <w:r w:rsidRPr="004B458C">
        <w:rPr>
          <w:sz w:val="20"/>
        </w:rPr>
        <w:t>agri</w:t>
      </w:r>
      <w:proofErr w:type="spellEnd"/>
      <w:r w:rsidRPr="004B458C">
        <w:rPr>
          <w:sz w:val="20"/>
        </w:rPr>
        <w:t xml:space="preserve">-environmental policies, which aim to safeguard cultural ecosystem services provided by agrarian landscapes </w:t>
      </w:r>
      <w:r w:rsidRPr="004B458C">
        <w:rPr>
          <w:sz w:val="20"/>
        </w:rPr>
        <w:fldChar w:fldCharType="begin" w:fldLock="1"/>
      </w:r>
      <w:r w:rsidRPr="004B458C">
        <w:rPr>
          <w:sz w:val="20"/>
        </w:rPr>
        <w:instrText>ADDIN CSL_CITATION { "citationItems" : [ { "id" : "ITEM-1", "itemData" : { "DOI" : "10.1111/j.1755-263X.2012.00240.x", "ISSN" : "1755263X", "author" : [ { "dropping-particle" : "", "family" : "Plieninger", "given" : "Tobias", "non-dropping-particle" : "", "parse-names" : false, "suffix" : "" }, { "dropping-particle" : "", "family" : "Schleyer", "given" : "Christian", "non-dropping-particle" : "", "parse-names" : false, "suffix" : "" }, { "dropping-particle" : "", "family" : "Schaich", "given" : "Harald", "non-dropping-particle" : "", "parse-names" : false, "suffix" : "" }, { "dropping-particle" : "", "family" : "Ohnesorge", "given" : "Bettina", "non-dropping-particle" : "", "parse-names" : false, "suffix" : "" }, { "dropping-particle" : "", "family" : "Gerdes", "given" : "Holger", "non-dropping-particle" : "", "parse-names" : false, "suffix" : "" }, { "dropping-particle" : "", "family" : "Hern\u00e1ndez-Morcillo", "given" : "M\u00f3nica", "non-dropping-particle" : "", "parse-names" : false, "suffix" : "" }, { "dropping-particle" : "", "family" : "Bieling", "given" : "Claudia", "non-dropping-particle" : "", "parse-names" : false, "suffix" : "" } ], "container-title" : "Conservation Letters", "id" : "ITEM-1", "issue" : "4", "issued" : { "date-parts" : [ [ "2012", "8", "4" ] ] }, "page" : "281-288", "title" : "Mainstreaming ecosystem services through reformed European agricultural policies", "type" : "article-journal", "volume" : "5" }, "uris" : [ "http://www.mendeley.com/documents/?uuid=cf2a83a5-40db-497c-bec9-4063db743e25" ] } ], "mendeley" : { "formattedCitation" : "(Plieninger et al., 2012)", "plainTextFormattedCitation" : "(Plieninger et al., 2012)", "previouslyFormattedCitation" : "(Plieninger et al., 2012)" }, "properties" : { "noteIndex" : 0 }, "schema" : "https://github.com/citation-style-language/schema/raw/master/csl-citation.json" }</w:instrText>
      </w:r>
      <w:r w:rsidRPr="004B458C">
        <w:rPr>
          <w:sz w:val="20"/>
        </w:rPr>
        <w:fldChar w:fldCharType="separate"/>
      </w:r>
      <w:r w:rsidRPr="004B458C">
        <w:rPr>
          <w:noProof/>
          <w:sz w:val="20"/>
        </w:rPr>
        <w:t>(Plieninger et al., 2012)</w:t>
      </w:r>
      <w:r w:rsidRPr="004B458C">
        <w:rPr>
          <w:sz w:val="20"/>
        </w:rPr>
        <w:fldChar w:fldCharType="end"/>
      </w:r>
      <w:r w:rsidRPr="004B458C">
        <w:rPr>
          <w:sz w:val="20"/>
        </w:rPr>
        <w:t xml:space="preserve">.     </w:t>
      </w:r>
    </w:p>
    <w:p w:rsidR="003F789A" w:rsidRDefault="003F789A" w:rsidP="00BD5483">
      <w:pPr>
        <w:pStyle w:val="Heading2"/>
        <w:numPr>
          <w:ilvl w:val="0"/>
          <w:numId w:val="0"/>
        </w:numPr>
        <w:spacing w:line="360" w:lineRule="auto"/>
        <w:rPr>
          <w:b w:val="0"/>
          <w:color w:val="333333"/>
          <w:sz w:val="20"/>
        </w:rPr>
      </w:pPr>
    </w:p>
    <w:p w:rsidR="003F789A" w:rsidRPr="00BD5483" w:rsidRDefault="003F789A" w:rsidP="00BD5483">
      <w:pPr>
        <w:rPr>
          <w:b/>
          <w:sz w:val="20"/>
        </w:rPr>
      </w:pPr>
      <w:r w:rsidRPr="00BD5483">
        <w:rPr>
          <w:b/>
          <w:sz w:val="20"/>
        </w:rPr>
        <w:t>Methodological Considerations</w:t>
      </w:r>
    </w:p>
    <w:p w:rsidR="003F789A" w:rsidRDefault="003F789A" w:rsidP="008C28CE">
      <w:pPr>
        <w:spacing w:line="360" w:lineRule="auto"/>
        <w:rPr>
          <w:sz w:val="20"/>
        </w:rPr>
      </w:pPr>
      <w:r w:rsidRPr="004B458C">
        <w:rPr>
          <w:sz w:val="20"/>
        </w:rPr>
        <w:t xml:space="preserve">We review the validity of this method and its results through a comparison to other mapping methods, and through a partial verification of the results using </w:t>
      </w:r>
      <w:proofErr w:type="spellStart"/>
      <w:r w:rsidRPr="004B458C">
        <w:rPr>
          <w:sz w:val="20"/>
        </w:rPr>
        <w:t>Panoramio</w:t>
      </w:r>
      <w:proofErr w:type="spellEnd"/>
      <w:r w:rsidRPr="004B458C">
        <w:rPr>
          <w:sz w:val="20"/>
        </w:rPr>
        <w:t xml:space="preserve"> photo-densities as an indicator of revealed landscape preferences. The methodological comparison has demonstrated clear similarities and differences between the different aesthetic value maps, which can be explained by a number of key methodological choices that underlie the different mapping methods. In the following sections, we reflect upon these methodological choices.       </w:t>
      </w:r>
    </w:p>
    <w:p w:rsidR="003F789A" w:rsidRPr="004B458C" w:rsidRDefault="003F789A" w:rsidP="008C28CE">
      <w:pPr>
        <w:spacing w:line="360" w:lineRule="auto"/>
        <w:rPr>
          <w:sz w:val="20"/>
        </w:rPr>
      </w:pPr>
    </w:p>
    <w:p w:rsidR="003F789A" w:rsidRPr="001C42D8" w:rsidRDefault="003F789A" w:rsidP="00BD5483">
      <w:pPr>
        <w:rPr>
          <w:b/>
          <w:i/>
          <w:sz w:val="20"/>
        </w:rPr>
      </w:pPr>
      <w:r w:rsidRPr="001C42D8">
        <w:rPr>
          <w:b/>
          <w:i/>
          <w:sz w:val="20"/>
        </w:rPr>
        <w:t xml:space="preserve">Selection of landscape attributes: which landscape features contribute to its aesthetic value? </w:t>
      </w:r>
    </w:p>
    <w:p w:rsidR="003F789A" w:rsidRDefault="003F789A" w:rsidP="008C28CE">
      <w:pPr>
        <w:tabs>
          <w:tab w:val="left" w:pos="7200"/>
        </w:tabs>
        <w:spacing w:line="360" w:lineRule="auto"/>
        <w:rPr>
          <w:sz w:val="20"/>
        </w:rPr>
      </w:pPr>
      <w:r w:rsidRPr="004B458C">
        <w:rPr>
          <w:sz w:val="20"/>
        </w:rPr>
        <w:t xml:space="preserve">The type of landscape features that are addressed in the mapping procedure, i.e. the type of ecosystem service providing units </w:t>
      </w:r>
      <w:r w:rsidRPr="004B458C">
        <w:rPr>
          <w:sz w:val="20"/>
        </w:rPr>
        <w:fldChar w:fldCharType="begin" w:fldLock="1"/>
      </w:r>
      <w:r w:rsidRPr="004B458C">
        <w:rPr>
          <w:sz w:val="20"/>
        </w:rPr>
        <w:instrText>ADDIN CSL_CITATION { "citationItems" : [ { "id" : "ITEM-1", "itemData" : { "DOI" : "10.1016/j.ecoser.2014.08.001", "ISSN" : "2212-0416", "author" : [ { "dropping-particle" : "", "family" : "Andersson", "given" : "E.", "non-dropping-particle" : "", "parse-names" : false, "suffix" : "" }, { "dropping-particle" : "", "family" : "McPhearson", "given" : "T.", "non-dropping-particle" : "", "parse-names" : false, "suffix" : "" }, { "dropping-particle" : "", "family" : "Kremer", "given" : "P.", "non-dropping-particle" : "", "parse-names" : false, "suffix" : "" }, { "dropping-particle" : "", "family" : "Gomez-Baggethun, E. Haase", "given" : "D.", "non-dropping-particle" : "", "parse-names" : false, "suffix" : "" }, { "dropping-particle" : "", "family" : "Tuvendal", "given" : "M.", "non-dropping-particle" : "", "parse-names" : false, "suffix" : "" }, { "dropping-particle" : "", "family" : "Wurster", "given" : "D.", "non-dropping-particle" : "", "parse-names" : false, "suffix" : "" } ], "container-title" : "Ecosystem Services", "id" : "ITEM-1", "issued" : { "date-parts" : [ [ "2015" ] ] }, "publisher" : "Elsevier", "title" : "Scale and Context Dependence of Ecosystem Service Providing Units", "type" : "article-journal" }, "uris" : [ "http://www.mendeley.com/documents/?uuid=d5629586-9498-4dc3-a6fe-02c038f53066" ] } ], "mendeley" : { "formattedCitation" : "(Andersson et al., 2015)", "plainTextFormattedCitation" : "(Andersson et al., 2015)", "previouslyFormattedCitation" : "(Andersson et al., 2015)" }, "properties" : { "noteIndex" : 0 }, "schema" : "https://github.com/citation-style-language/schema/raw/master/csl-citation.json" }</w:instrText>
      </w:r>
      <w:r w:rsidRPr="004B458C">
        <w:rPr>
          <w:sz w:val="20"/>
        </w:rPr>
        <w:fldChar w:fldCharType="separate"/>
      </w:r>
      <w:r w:rsidRPr="004B458C">
        <w:rPr>
          <w:noProof/>
          <w:sz w:val="20"/>
        </w:rPr>
        <w:t>(Andersson et al., 2015)</w:t>
      </w:r>
      <w:r w:rsidRPr="004B458C">
        <w:rPr>
          <w:sz w:val="20"/>
        </w:rPr>
        <w:fldChar w:fldCharType="end"/>
      </w:r>
      <w:r w:rsidRPr="004B458C">
        <w:rPr>
          <w:sz w:val="20"/>
        </w:rPr>
        <w:t xml:space="preserve">, co-determines the outcomes of the mapping method. The choice experiment method shows that the presence of livestock is perceived as an important landscape attribute in the area, whereas the other studies do not take it into account. Of the four methods, the landscape features method includes the most specific and detailed landscape attributes. For the other two mapping methods compared in this paper, the service providing units are defined in a more abstract way and at other spatial scales, expressing the value of a landscape solely based on land-cover composition </w:t>
      </w:r>
      <w:r w:rsidRPr="004B458C">
        <w:rPr>
          <w:sz w:val="20"/>
        </w:rPr>
        <w:fldChar w:fldCharType="begin" w:fldLock="1"/>
      </w:r>
      <w:r w:rsidRPr="004B458C">
        <w:rPr>
          <w:sz w:val="20"/>
        </w:rPr>
        <w:instrText>ADDIN CSL_CITATION { "citationItems" : [ { "id" : "ITEM-1", "itemData" : { "DOI" : "10.3097/LO.200915", "ISBN" : "1865-1542", "ISSN" : "18651542", "abstract" : "Landscapes differ in their capacities to provide ecosystem goods and services, which are the benefits humans obtain from nature. Structures and functions of ecosystems needed to sustain the provision of ecosystem services are altered by various human activities. In this paper, a concept for the assessment of multiple ecosystem services is proposed as a basis for discussion and further development of a respective evaluation instrument. Using quantitative and qualitative assessment data in combination with land cover and land use information originated from remote sensing and GIS, impacts of human activities can be evaluated. The results reveal typical patterns of different ecosystems\u2018 capacities to provide ecosystem services. The proposed approach thus delivers useful integrative information for environmental management and landscape planning, aiming at a sustainable use of services provided by nature. The research concept and methodological framework presented here for discussion have initially been applied in different case studies and shall be developed further to provide a useful tool for the quantification and spatial modelling of multiple ecosystem services in different landscapes. An exemplary application of the approach dealing with food provision in the Halle-Leipzig region in Germany is presented. It shows typical patterns of ecosystem service distribution around urban areas. As the approach is new and still rather general, there is great potential for improvement, especially with regard to a data-based quantification of the numerous hypotheses, which were formulated as base for the assessment. Moreover, the integration of more detailed landscape information on different scales will be needed in future in order to take the heterogeneous distribution of landscape properties and values into account. Therefore, the purpose of this paper is to foster critical discussions on the methodological development presented here.", "author" : [ { "dropping-particle" : "", "family" : "Burkhard", "given" : "Benjamin", "non-dropping-particle" : "", "parse-names" : false, "suffix" : "" }, { "dropping-particle" : "", "family" : "Kroll", "given" : "Franziska", "non-dropping-particle" : "", "parse-names" : false, "suffix" : "" }, { "dropping-particle" : "", "family" : "M\u00fcller", "given" : "Felix", "non-dropping-particle" : "", "parse-names" : false, "suffix" : "" }, { "dropping-particle" : "", "family" : "Windhorst", "given" : "Wilhelm", "non-dropping-particle" : "", "parse-names" : false, "suffix" : "" } ], "container-title" : "Landscape Online", "id" : "ITEM-1", "issued" : { "date-parts" : [ [ "2009" ] ] }, "page" : "1-22", "title" : "Landscapes\u2018 Capacities to Provide Ecosystem Services \u2013 a Concept for Land-Cover Based Assessments", "type" : "article-journal", "volume" : "15" }, "uris" : [ "http://www.mendeley.com/documents/?uuid=2633a6f4-4375-429c-b205-051cd35deb3f" ] } ], "mendeley" : { "formattedCitation" : "(Burkhard et al., 2009)", "plainTextFormattedCitation" : "(Burkhard et al., 2009)", "previouslyFormattedCitation" : "(Burkhard et al., 2009)" }, "properties" : { "noteIndex" : 0 }, "schema" : "https://github.com/citation-style-language/schema/raw/master/csl-citation.json" }</w:instrText>
      </w:r>
      <w:r w:rsidRPr="004B458C">
        <w:rPr>
          <w:sz w:val="20"/>
        </w:rPr>
        <w:fldChar w:fldCharType="separate"/>
      </w:r>
      <w:r w:rsidRPr="004B458C">
        <w:rPr>
          <w:noProof/>
          <w:sz w:val="20"/>
        </w:rPr>
        <w:t>(Burkhard et al., 2009)</w:t>
      </w:r>
      <w:r w:rsidRPr="004B458C">
        <w:rPr>
          <w:sz w:val="20"/>
        </w:rPr>
        <w:fldChar w:fldCharType="end"/>
      </w:r>
      <w:r w:rsidRPr="004B458C">
        <w:rPr>
          <w:sz w:val="20"/>
        </w:rPr>
        <w:t xml:space="preserve"> or the spatial structure and composition of land-cover </w:t>
      </w:r>
      <w:r w:rsidRPr="004B458C">
        <w:rPr>
          <w:sz w:val="20"/>
        </w:rPr>
        <w:fldChar w:fldCharType="begin" w:fldLock="1"/>
      </w:r>
      <w:r w:rsidRPr="004B458C">
        <w:rPr>
          <w:sz w:val="20"/>
        </w:rPr>
        <w:instrText>ADDIN CSL_CITATION { "citationItems" : [ { "id" : "ITEM-1",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"ITEM-1",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"(van Berkel and Verburg, 2014)", "plainTextFormattedCitation" : "(van Berkel and Verburg, 2014)", "previouslyFormattedCitation" : "(van Berkel and Verburg, 2014)" }, "properties" : { "noteIndex" : 0 }, "schema" : "https://github.com/citation-style-language/schema/raw/master/csl-citation.json" }</w:instrText>
      </w:r>
      <w:r w:rsidRPr="004B458C">
        <w:rPr>
          <w:sz w:val="20"/>
        </w:rPr>
        <w:fldChar w:fldCharType="separate"/>
      </w:r>
      <w:r w:rsidRPr="004B458C">
        <w:rPr>
          <w:noProof/>
          <w:sz w:val="20"/>
        </w:rPr>
        <w:t>(van Berkel and Verburg, 2014)</w:t>
      </w:r>
      <w:r w:rsidRPr="004B458C">
        <w:rPr>
          <w:sz w:val="20"/>
        </w:rPr>
        <w:fldChar w:fldCharType="end"/>
      </w:r>
      <w:r w:rsidRPr="004B458C">
        <w:rPr>
          <w:sz w:val="20"/>
        </w:rPr>
        <w:t xml:space="preserve">. For instance, in comparison with the landscape features method and the landscape structure and composition method, the choice experiment method reveals a higher concentration of hotspots in the north of the case study area (Figure </w:t>
      </w:r>
      <w:r>
        <w:rPr>
          <w:sz w:val="20"/>
        </w:rPr>
        <w:t>3</w:t>
      </w:r>
      <w:r w:rsidRPr="004B458C">
        <w:rPr>
          <w:sz w:val="20"/>
        </w:rPr>
        <w:t xml:space="preserve">). This is a result of the high levels of presence of livestock and a high maize-grassland ratio in the northern area; these attributes/service providing units, are only included in the choice experiment. </w:t>
      </w:r>
    </w:p>
    <w:p w:rsidR="003F789A" w:rsidRPr="004B458C" w:rsidRDefault="003F789A" w:rsidP="008C28CE">
      <w:pPr>
        <w:tabs>
          <w:tab w:val="left" w:pos="7200"/>
        </w:tabs>
        <w:spacing w:line="360" w:lineRule="auto"/>
        <w:rPr>
          <w:sz w:val="20"/>
        </w:rPr>
      </w:pPr>
    </w:p>
    <w:p w:rsidR="003F789A" w:rsidRDefault="003F789A" w:rsidP="008C28CE">
      <w:pPr>
        <w:spacing w:line="360" w:lineRule="auto"/>
        <w:rPr>
          <w:sz w:val="20"/>
        </w:rPr>
      </w:pPr>
      <w:r w:rsidRPr="004B458C">
        <w:rPr>
          <w:sz w:val="20"/>
        </w:rPr>
        <w:t xml:space="preserve">The significant differences originating from the choice of landscape attributes accounted for indicates that a proper selection of landscape attributes is essential </w:t>
      </w:r>
      <w:r w:rsidRPr="004B458C">
        <w:rPr>
          <w:sz w:val="20"/>
        </w:rPr>
        <w:fldChar w:fldCharType="begin" w:fldLock="1"/>
      </w:r>
      <w:r w:rsidRPr="004B458C">
        <w:rPr>
          <w:sz w:val="20"/>
        </w:rPr>
        <w:instrText>ADDIN CSL_CITATION { "citationItems" : [ { "id" : "ITEM-1", "itemData" : { "DOI" : "10.1023/A:1021202425295", "ISBN" : "0924-6460", "ISSN" : "09246460", "abstract" : "When selecting attributes in environmental Choice Modelling studies, preference should be given to those attributes that are demand-relevant, policy-relevant, and measurable. The use of these criteria will often result in a short list of environmental attributes of which some are caus- ally related. The inclusion of attributes that have a cause-effect relationship may stimulate some respondents to seek to understand the causal relations among attributes in order to assign greater meaning to the alternatives, and potentially, simplify the decision making process. This may have implications for the weights they assign to each of the attributes when identifying the preferred alternatives, and subsequently for the implicit prices and/or welfare estimates. A test of the impact of including an attribute that causes impacts on ecosystem health as well as an attribute relating to ecosystem health effects on parameter estimates, implicit prices and welfare estimates is conducted. Two questionnaires are developed, one with the causal attribute included and one without. A comparison of results indicates that when the causal attribute is included in the vector of choice attributes, the implicit value of a single endangered species falls by 34 per cent whilst no significant difference is detected in the parameter estimates. Importantly, however, estimates of compensating surplus for a given policy package do not differ significantly across the two treatments. This implies that to the extent that the inclusion of a causal attribute reduces the implicit prices for one or more of the effect attributes, the associated loss in utility is approximately offset by the utility now associated with the new attribute.", "author" : [ { "dropping-particle" : "", "family" : "Blamey", "given" : "R. K.", "non-dropping-particle" : "", "parse-names" : false, "suffix" : "" }, { "dropping-particle" : "", "family" : "Bennett", "given" : "Jeff W.", "non-dropping-particle" : "", "parse-names" : false, "suffix" : "" }, { "dropping-particle" : "", "family" : "Louviere", "given" : "J. J.", "non-dropping-particle" : "", "parse-names" : false, "suffix" : "" }, { "dropping-particle" : "", "family" : "Morrison", "given" : "M. D.", "non-dropping-particle" : "", "parse-names" : false, "suffix" : "" }, { "dropping-particle" : "", "family" : "Rolfe", "given" : "J. C.", "non-dropping-particle" : "", "parse-names" : false, "suffix" : "" } ], "container-title" : "Environmental and Resource Economics", "id" : "ITEM-1", "issue" : "2", "issued" : { "date-parts" : [ [ "2002" ] ] }, "page" : "167-186", "title" : "Attribute causality in environmental choice modelling", "type" : "article-journal", "volume" : "23" }, "uris" : [ "http://www.mendeley.com/documents/?uuid=fed900f9-e3bc-481a-8cc6-db8fb25239a0" ] } ], "mendeley" : { "formattedCitation" : "(Blamey et al., 2002)", "plainTextFormattedCitation" : "(Blamey et al., 2002)", "previouslyFormattedCitation" : "(Blamey et al., 2002)" }, "properties" : { "noteIndex" : 0 }, "schema" : "https://github.com/citation-style-language/schema/raw/master/csl-citation.json" }</w:instrText>
      </w:r>
      <w:r w:rsidRPr="004B458C">
        <w:rPr>
          <w:sz w:val="20"/>
        </w:rPr>
        <w:fldChar w:fldCharType="separate"/>
      </w:r>
      <w:r w:rsidRPr="004B458C">
        <w:rPr>
          <w:noProof/>
          <w:sz w:val="20"/>
        </w:rPr>
        <w:t>(Blamey et al., 2002)</w:t>
      </w:r>
      <w:r w:rsidRPr="004B458C">
        <w:rPr>
          <w:sz w:val="20"/>
        </w:rPr>
        <w:fldChar w:fldCharType="end"/>
      </w:r>
      <w:r w:rsidRPr="004B458C">
        <w:rPr>
          <w:sz w:val="20"/>
        </w:rPr>
        <w:t xml:space="preserve">. We propose that in mapping studies a rationale for the choice of landscape attributes that are considered as determinants of landscape preferences is explicitly provided. </w:t>
      </w:r>
    </w:p>
    <w:p w:rsidR="003F789A" w:rsidRPr="001C42D8" w:rsidRDefault="003F789A" w:rsidP="00BD5483">
      <w:pPr>
        <w:rPr>
          <w:b/>
          <w:sz w:val="20"/>
        </w:rPr>
      </w:pPr>
    </w:p>
    <w:p w:rsidR="003F789A" w:rsidRPr="001C42D8" w:rsidRDefault="003F789A" w:rsidP="00BD5483">
      <w:pPr>
        <w:rPr>
          <w:b/>
          <w:i/>
          <w:color w:val="auto"/>
          <w:sz w:val="20"/>
        </w:rPr>
      </w:pPr>
      <w:r w:rsidRPr="001C42D8">
        <w:rPr>
          <w:b/>
          <w:i/>
          <w:color w:val="auto"/>
          <w:sz w:val="20"/>
        </w:rPr>
        <w:t>The scale and level of integration of landscape evaluation</w:t>
      </w:r>
    </w:p>
    <w:p w:rsidR="003F789A" w:rsidRDefault="003F789A" w:rsidP="008C28CE">
      <w:pPr>
        <w:spacing w:line="360" w:lineRule="auto"/>
        <w:rPr>
          <w:sz w:val="20"/>
        </w:rPr>
      </w:pPr>
      <w:r w:rsidRPr="004B458C">
        <w:rPr>
          <w:sz w:val="20"/>
        </w:rPr>
        <w:t xml:space="preserve">The mapping approaches in the comparison that rely on primary data (i.e. the choice experiment method, the landscape features method and the landscape structure and composition method) all use </w:t>
      </w:r>
      <w:r w:rsidRPr="004B458C">
        <w:rPr>
          <w:sz w:val="20"/>
        </w:rPr>
        <w:lastRenderedPageBreak/>
        <w:t xml:space="preserve">choice-based elicitation methods with landscape pictures to value landscape attributes. However, there are some notable differences with respect to the scale of evaluation and the level of integration of the landscape attributes in the elicitation of preferences. For the landscape features method, the respondents ranked landscape attributes in isolation, regardless of the landscape context in the landscape in the direct vicinity of that particular landscape feature. In contrast, the choice experiment and landscape structure and composition method take an integrated approach evaluating all landscape attributes in a single picture and thus force respondents to trade-off different attributes. However, the choice experiment method and the landscape structure and composition method apply different scales of landscape evaluation. In the choice experiment, we measure landscape preferences at a visual landscape scale as a surrogate for the real landscape experience, the structure and composition method visualizes and presents landscape structure and composition to respondents using satellite imagery </w:t>
      </w:r>
      <w:r w:rsidRPr="004B458C">
        <w:rPr>
          <w:sz w:val="20"/>
        </w:rPr>
        <w:fldChar w:fldCharType="begin" w:fldLock="1"/>
      </w:r>
      <w:r w:rsidRPr="004B458C">
        <w:rPr>
          <w:sz w:val="20"/>
        </w:rPr>
        <w:instrText>ADDIN CSL_CITATION { "citationItems" : [ { "id" : "ITEM-1", "itemData" : { "DOI" : "10.1016/j.ecolind.2012.06.025", "ISSN" : "1470160X", "author" : [ { "dropping-particle" : "", "family" : "Berkel", "given" : "Derek B.", "non-dropping-particle" : "van", "parse-names" : false, "suffix" : "" }, { "dropping-particle" : "", "family" : "Verburg", "given" : "Peter H.", "non-dropping-particle" : "", "parse-names" : false, "suffix" : "" } ], "container-title" : "Ecological Indicators", "id" : "ITEM-1", "issued" : { "date-parts" : [ [ "2014", "7" ] ] }, "page" : "163-174", "publisher" : "Elsevier Ltd", "title" : "Spatial quantification and valuation of cultural ecosystem services in an agricultural landscape", "type" : "article-journal", "volume" : "37" }, "uris" : [ "http://www.mendeley.com/documents/?uuid=416a8da5-38df-4ca4-8503-321bcfc5225b" ] } ], "mendeley" : { "formattedCitation" : "(van Berkel and Verburg, 2014)", "plainTextFormattedCitation" : "(van Berkel and Verburg, 2014)", "previouslyFormattedCitation" : "(van Berkel and Verburg, 2014)" }, "properties" : { "noteIndex" : 0 }, "schema" : "https://github.com/citation-style-language/schema/raw/master/csl-citation.json" }</w:instrText>
      </w:r>
      <w:r w:rsidRPr="004B458C">
        <w:rPr>
          <w:sz w:val="20"/>
        </w:rPr>
        <w:fldChar w:fldCharType="separate"/>
      </w:r>
      <w:r w:rsidRPr="004B458C">
        <w:rPr>
          <w:noProof/>
          <w:sz w:val="20"/>
        </w:rPr>
        <w:t>(van Berkel and Verburg, 2014)</w:t>
      </w:r>
      <w:r w:rsidRPr="004B458C">
        <w:rPr>
          <w:sz w:val="20"/>
        </w:rPr>
        <w:fldChar w:fldCharType="end"/>
      </w:r>
      <w:r w:rsidRPr="004B458C">
        <w:rPr>
          <w:sz w:val="20"/>
        </w:rPr>
        <w:t>. The difference in spatial autocorrelation between the landscape structure and composition method and the choice experiment method is partly a result of this difference in scale of landscape evaluation. In the choice experiment only the visual landscape is evaluated, whereas the structure and composition method evaluates ≈2km</w:t>
      </w:r>
      <w:r w:rsidRPr="004B458C">
        <w:rPr>
          <w:sz w:val="20"/>
          <w:vertAlign w:val="superscript"/>
        </w:rPr>
        <w:t xml:space="preserve">2 </w:t>
      </w:r>
      <w:r w:rsidRPr="004B458C">
        <w:rPr>
          <w:sz w:val="20"/>
        </w:rPr>
        <w:t xml:space="preserve">blocks. This leads to a higher level of spatial detail in the choice experiment map and thus to disagreement between hot and cold spots in the value maps (Figure </w:t>
      </w:r>
      <w:r>
        <w:rPr>
          <w:sz w:val="20"/>
        </w:rPr>
        <w:t>4</w:t>
      </w:r>
      <w:r w:rsidRPr="004B458C">
        <w:rPr>
          <w:sz w:val="20"/>
        </w:rPr>
        <w:t xml:space="preserve">a). Also, the scale at which the landscape is evaluated by respondents has consequences for geo-spatial characteristics of attributes that can be included in the study </w:t>
      </w:r>
      <w:r w:rsidRPr="004B458C">
        <w:rPr>
          <w:sz w:val="20"/>
        </w:rPr>
        <w:fldChar w:fldCharType="begin" w:fldLock="1"/>
      </w:r>
      <w:r w:rsidRPr="004B458C">
        <w:rPr>
          <w:sz w:val="20"/>
        </w:rPr>
        <w:instrText>ADDIN CSL_CITATION { "citationItems" : [ { "id" : "ITEM-1", "itemData" : { "DOI" : "10.1016/S0169-2046(01)00141-4", "ISBN" : "0169-2046", "ISSN" : "01692046", "abstract" : "The history of landscape quality assessment has featured a contest between expert and perception-based approaches, paralleling a long-standing debate in the philosophy of aesthetics. The expert approach has dominated in environmental management practice and the perception-based approach has dominated in research. Both approaches generally accept that landscape quality derives from an interaction between biophysical features of the landscape and perceptual/judgmental processes of the human viewer. The approaches differ in the conceptualizations of and the relative importance of the landscape and human viewer components. At the close of the 20th century landscape quality assessment practice evolved toward a shaky marriage whereby both expert and perceptual approaches are applied in parallel and then, in some as yet unspecified way, merged in the final environmental management decision making process. The 21st century will feature continued momentum toward ecosystem management where the effects of changing spatial and temporal patterns of landscape features, at multiple scales and resolutions, will be more important than any given set of features at any one place at any one time. Valid representation of the visual implications of complex geo-temporal dynamics central to ecosystem management will present major challenges to landscape quality assessment. Technological developments in geographic information systems, simulation modeling and environmental data visualization will continue to help meet those challenges. At a more fundamental level traditional landscape assessment approaches will be challenged by the deep ecology and green philosophy movements which advocate a strongly bio-centric approach to landscape quality assessment where neither expert design principles nor human perceptions and preferences are deemed relevant. On the opposite side of the landscape-human interaction, social/cultural construction models that construe the landscape as the product of socially instructed human interpretation leave little or no role for biophysical landscape features and processes. A psychophysical approach is advocated to provide a more appropriate balance between biophysical and human perception/judgement components of an operationally delimited landscape quality assessment system. ?? 2001 Published by Elsevier Science B.V.", "author" : [ { "dropping-particle" : "", "family" : "Daniel", "given" : "Terry C.", "non-dropping-particle" : "", "parse-names" : false, "suffix" : "" } ], "container-title" : "Landscape and Urban Planning", "id" : "ITEM-1", "issue" : "1-4", "issued" : { "date-parts" : [ [ "2001", "5" ] ] }, "note" : "use for last paper crowsourcing", "page" : "267-281", "title" : "Whither scenic beauty? Visual landscape quality assessment in the 21st century", "type" : "article-journal", "volume" : "54" }, "uris" : [ "http://www.mendeley.com/documents/?uuid=bfdcb981-c25a-49b3-88f8-bbd015002c82" ] } ], "mendeley" : { "formattedCitation" : "(Daniel, 2001)", "plainTextFormattedCitation" : "(Daniel, 2001)", "previouslyFormattedCitation" : "(Daniel, 2001)" }, "properties" : { "noteIndex" : 0 }, "schema" : "https://github.com/citation-style-language/schema/raw/master/csl-citation.json" }</w:instrText>
      </w:r>
      <w:r w:rsidRPr="004B458C">
        <w:rPr>
          <w:sz w:val="20"/>
        </w:rPr>
        <w:fldChar w:fldCharType="separate"/>
      </w:r>
      <w:r w:rsidRPr="004B458C">
        <w:rPr>
          <w:noProof/>
          <w:sz w:val="20"/>
        </w:rPr>
        <w:t>(Daniel, 2001)</w:t>
      </w:r>
      <w:r w:rsidRPr="004B458C">
        <w:rPr>
          <w:sz w:val="20"/>
        </w:rPr>
        <w:fldChar w:fldCharType="end"/>
      </w:r>
      <w:r w:rsidRPr="004B458C">
        <w:rPr>
          <w:sz w:val="20"/>
        </w:rPr>
        <w:t xml:space="preserve">. Preferences for the presence of livestock, for example, cannot be measured through satellite images. </w:t>
      </w:r>
    </w:p>
    <w:p w:rsidR="003F789A" w:rsidRPr="004B458C" w:rsidRDefault="003F789A" w:rsidP="008C28CE">
      <w:pPr>
        <w:spacing w:line="360" w:lineRule="auto"/>
        <w:rPr>
          <w:sz w:val="20"/>
        </w:rPr>
      </w:pPr>
    </w:p>
    <w:p w:rsidR="003F789A" w:rsidRDefault="003F789A" w:rsidP="008C28CE">
      <w:pPr>
        <w:spacing w:line="360" w:lineRule="auto"/>
        <w:rPr>
          <w:sz w:val="20"/>
        </w:rPr>
      </w:pPr>
      <w:r w:rsidRPr="004B458C">
        <w:rPr>
          <w:sz w:val="20"/>
        </w:rPr>
        <w:t xml:space="preserve">The lowest level of spatial autocorrelation of aesthetic values is found for the ES-matrix and land-cover method and the landscape features method. This is a direct consequence of the approach in which categorical landscape attributes are being valued in isolation from each other rather than accounting for the context in the visual landscape in around each grid cell. Aesthetic values assigned to landscapes are often considered holistic, implicating that in a landscape “each element only gets its meaning, significance or value according to the context or the surrounding elements” </w:t>
      </w:r>
      <w:r w:rsidRPr="004B458C">
        <w:rPr>
          <w:sz w:val="20"/>
        </w:rPr>
        <w:fldChar w:fldCharType="begin" w:fldLock="1"/>
      </w:r>
      <w:r w:rsidRPr="004B458C">
        <w:rPr>
          <w:sz w:val="20"/>
        </w:rPr>
        <w:instrText>ADDIN CSL_CITATION { "citationItems" : [ { "id" : "ITEM-1", "itemData" : { "author" : [ { "dropping-particle" : "", "family" : "Antrop", "given" : "Marc", "non-dropping-particle" : "", "parse-names" : false, "suffix" : "" } ], "container-title" : "Agriculture, ecosystems &amp; environment", "id" : "ITEM-1", "issue" : "July 1999", "issued" : { "date-parts" : [ [ "2000" ] ] }, "page" : "17-28", "title" : "Background concepts for integrated landscape analysis", "type" : "article-journal", "volume" : "77" }, "uris" : [ "http://www.mendeley.com/documents/?uuid=ccf1d6f0-0421-4ffd-bd83-ef172fbebf87" ] } ], "mendeley" : { "formattedCitation" : "(Antrop, 2000)", "manualFormatting" : "(Antrop, 2000, pp 19)", "plainTextFormattedCitation" : "(Antrop, 2000)", "previouslyFormattedCitation" : "(Antrop, 2000)" }, "properties" : { "noteIndex" : 0 }, "schema" : "https://github.com/citation-style-language/schema/raw/master/csl-citation.json" }</w:instrText>
      </w:r>
      <w:r w:rsidRPr="004B458C">
        <w:rPr>
          <w:sz w:val="20"/>
        </w:rPr>
        <w:fldChar w:fldCharType="separate"/>
      </w:r>
      <w:r w:rsidRPr="004B458C">
        <w:rPr>
          <w:noProof/>
          <w:sz w:val="20"/>
        </w:rPr>
        <w:t>(Antrop, 2000, pp 19)</w:t>
      </w:r>
      <w:r w:rsidRPr="004B458C">
        <w:rPr>
          <w:sz w:val="20"/>
        </w:rPr>
        <w:fldChar w:fldCharType="end"/>
      </w:r>
      <w:r w:rsidRPr="004B458C">
        <w:rPr>
          <w:sz w:val="20"/>
        </w:rPr>
        <w:t xml:space="preserve">. Therefore, we argue that in order to quantify the contribution of specific landscape features in a meaningful way, an integrated evaluation of landscape features is required. Additionally, if aesthetic value maps aim to directly relate to the values that were assigned to these landscape attributes by the users of the landscape, it is important to ensure that the mapping method and value assignment capture as much as possible the landscape user’s visual scale of experience </w:t>
      </w:r>
      <w:r w:rsidRPr="004B458C">
        <w:rPr>
          <w:sz w:val="20"/>
        </w:rPr>
        <w:fldChar w:fldCharType="begin" w:fldLock="1"/>
      </w:r>
      <w:r w:rsidRPr="004B458C">
        <w:rPr>
          <w:sz w:val="20"/>
        </w:rPr>
        <w:instrText>ADDIN CSL_CITATION { "citationItems" : [ { "id" : "ITEM-1", "itemData" : { "DOI" : "10.1080/01426390600783269", "ISBN" : "0142639060", "ISSN" : "0142-6397", "author" : [ { "dropping-particle" : "", "family" : "Tveit", "given" : "M.", "non-dropping-particle" : "", "parse-names" : false, "suffix" : "" }, { "dropping-particle" : "", "family" : "Ode", "given" : "\u00c5.", "non-dropping-particle" : "", "parse-names" : false, "suffix" : "" }, { "dropping-particle" : "", "family" : "Fry", "given" : "G.", "non-dropping-particle" : "", "parse-names" : false, "suffix" : "" } ], "container-title" : "Landscape Research", "id" : "ITEM-1", "issue" : "3", "issued" : { "date-parts" : [ [ "2006", "7" ] ] }, "note" : "meta study of key concepts. Not specific for cultural landscapesnot directly related to landscape structure and composition see notes for storyline", "page" : "229-255", "title" : "Key concepts in a framework for analysing visual landscape character", "type" : "article-journal", "volume" : "31" }, "uris" : [ "http://www.mendeley.com/documents/?uuid=95f1b1b0-601e-482a-b6b4-dc3f61d4d365" ] }, { "id" : "ITEM-2", "itemData" : { "DOI" : "10.1016/S0169-2046(01)00141-4", "ISBN" : "0169-2046", "ISSN" : "01692046", "abstract" : "The history of landscape quality assessment has featured a contest between expert and perception-based approaches, paralleling a long-standing debate in the philosophy of aesthetics. The expert approach has dominated in environmental management practice and the perception-based approach has dominated in research. Both approaches generally accept that landscape quality derives from an interaction between biophysical features of the landscape and perceptual/judgmental processes of the human viewer. The approaches differ in the conceptualizations of and the relative importance of the landscape and human viewer components. At the close of the 20th century landscape quality assessment practice evolved toward a shaky marriage whereby both expert and perceptual approaches are applied in parallel and then, in some as yet unspecified way, merged in the final environmental management decision making process. The 21st century will feature continued momentum toward ecosystem management where the effects of changing spatial and temporal patterns of landscape features, at multiple scales and resolutions, will be more important than any given set of features at any one place at any one time. Valid representation of the visual implications of complex geo-temporal dynamics central to ecosystem management will present major challenges to landscape quality assessment. Technological developments in geographic information systems, simulation modeling and environmental data visualization will continue to help meet those challenges. At a more fundamental level traditional landscape assessment approaches will be challenged by the deep ecology and green philosophy movements which advocate a strongly bio-centric approach to landscape quality assessment where neither expert design principles nor human perceptions and preferences are deemed relevant. On the opposite side of the landscape-human interaction, social/cultural construction models that construe the landscape as the product of socially instructed human interpretation leave little or no role for biophysical landscape features and processes. A psychophysical approach is advocated to provide a more appropriate balance between biophysical and human perception/judgement components of an operationally delimited landscape quality assessment system. ?? 2001 Published by Elsevier Science B.V.", "author" : [ { "dropping-particle" : "", "family" : "Daniel", "given" : "Terry C.", "non-dropping-particle" : "", "parse-names" : false, "suffix" : "" } ], "container-title" : "Landscape and Urban Planning", "id" : "ITEM-2", "issue" : "1-4", "issued" : { "date-parts" : [ [ "2001", "5" ] ] }, "note" : "use for last paper crowsourcing", "page" : "267-281", "title" : "Whither scenic beauty? Visual landscape quality assessment in the 21st century", "type" : "article-journal", "volume" : "54" }, "uris" : [ "http://www.mendeley.com/documents/?uuid=bfdcb981-c25a-49b3-88f8-bbd015002c82" ] }, { "id" : "ITEM-3", "itemData" : { "abstract" : "The Scenic Beauty Estimation Method (SBE) provides quantitative measures of esthetic preferences for alternative wildland management systems. Extensive experimentation and testing with user, interest, and professional groups validated the method. SBE shows promise as an efficient and objective means for assessing the scenic beauty of public forests and wildlands, and also for predicting the esthetic consequences of alternative land uses. Extensions and modifications of the basic methodology offer potentially useful design, planning, and management tools.", "author" : [ { "dropping-particle" : "", "family" : "Daniel", "given" : "Terry C.", "non-dropping-particle" : "", "parse-names" : false, "suffix" : "" }, { "dropping-particle" : "", "family" : "Boster", "given" : "Ron S.", "non-dropping-particle" : "", "parse-names" : false, "suffix" : "" } ], "container-title" : "USDA Forest Service Research Paper", "id" : "ITEM-3", "issued" : { "date-parts" : [ [ "1976" ] ] }, "number-of-pages" : "64", "title" : "Measuring landscape esthetics: the scenic beauty estimation method", "type" : "report" }, "uris" : [ "http://www.mendeley.com/documents/?uuid=4175fd55-9328-4c02-bef5-197bf0c86dbf" ] } ], "mendeley" : { "formattedCitation" : "(Daniel and Boster, 1976; Daniel, 2001; Tveit et al., 2006)", "plainTextFormattedCitation" : "(Daniel and Boster, 1976; Daniel, 2001; Tveit et al., 2006)", "previouslyFormattedCitation" : "(Daniel and Boster, 1976; Daniel, 2001; Tveit et al., 2006)" }, "properties" : { "noteIndex" : 0 }, "schema" : "https://github.com/citation-style-language/schema/raw/master/csl-citation.json" }</w:instrText>
      </w:r>
      <w:r w:rsidRPr="004B458C">
        <w:rPr>
          <w:sz w:val="20"/>
        </w:rPr>
        <w:fldChar w:fldCharType="separate"/>
      </w:r>
      <w:r w:rsidRPr="004B458C">
        <w:rPr>
          <w:noProof/>
          <w:sz w:val="20"/>
        </w:rPr>
        <w:t>(Daniel and Boster, 1976; Daniel, 2001; Tveit et al., 2006)</w:t>
      </w:r>
      <w:r w:rsidRPr="004B458C">
        <w:rPr>
          <w:sz w:val="20"/>
        </w:rPr>
        <w:fldChar w:fldCharType="end"/>
      </w:r>
      <w:r w:rsidRPr="004B458C">
        <w:rPr>
          <w:sz w:val="20"/>
        </w:rPr>
        <w:t xml:space="preserve">. Our approach that values landscape attributes within the visual landscape context in an integrated way is designed to meet these requirements. </w:t>
      </w:r>
    </w:p>
    <w:p w:rsidR="003F789A" w:rsidRPr="00BD5483" w:rsidRDefault="003F789A" w:rsidP="00BD5483">
      <w:pPr>
        <w:rPr>
          <w:sz w:val="20"/>
        </w:rPr>
      </w:pPr>
    </w:p>
    <w:p w:rsidR="003F789A" w:rsidRPr="001C42D8" w:rsidRDefault="003F789A" w:rsidP="00BD5483">
      <w:pPr>
        <w:rPr>
          <w:b/>
          <w:i/>
          <w:color w:val="auto"/>
          <w:sz w:val="20"/>
        </w:rPr>
      </w:pPr>
      <w:r w:rsidRPr="001C42D8">
        <w:rPr>
          <w:b/>
          <w:i/>
          <w:color w:val="auto"/>
          <w:sz w:val="20"/>
        </w:rPr>
        <w:t>Validation using revealed preferences</w:t>
      </w:r>
    </w:p>
    <w:p w:rsidR="003F789A" w:rsidRDefault="003F789A" w:rsidP="008C28CE">
      <w:pPr>
        <w:spacing w:line="360" w:lineRule="auto"/>
        <w:rPr>
          <w:sz w:val="20"/>
        </w:rPr>
      </w:pPr>
      <w:r w:rsidRPr="004B458C">
        <w:rPr>
          <w:sz w:val="20"/>
        </w:rPr>
        <w:t xml:space="preserve">Although we aim to validate the general pattern of aesthetic values by comparison to the </w:t>
      </w:r>
      <w:proofErr w:type="spellStart"/>
      <w:r w:rsidRPr="004B458C">
        <w:rPr>
          <w:sz w:val="20"/>
        </w:rPr>
        <w:t>Panoramio</w:t>
      </w:r>
      <w:proofErr w:type="spellEnd"/>
      <w:r w:rsidRPr="004B458C">
        <w:rPr>
          <w:sz w:val="20"/>
        </w:rPr>
        <w:t xml:space="preserve"> photo-density map, we do not expect the two maps to be perfectly correlated due to conceptual and </w:t>
      </w:r>
      <w:r w:rsidRPr="004B458C">
        <w:rPr>
          <w:sz w:val="20"/>
        </w:rPr>
        <w:lastRenderedPageBreak/>
        <w:t xml:space="preserve">methodological differences. The choice experiment map represents stated landscape preferences, while the </w:t>
      </w:r>
      <w:proofErr w:type="spellStart"/>
      <w:r w:rsidRPr="004B458C">
        <w:rPr>
          <w:sz w:val="20"/>
        </w:rPr>
        <w:t>Panoramio</w:t>
      </w:r>
      <w:proofErr w:type="spellEnd"/>
      <w:r w:rsidRPr="004B458C">
        <w:rPr>
          <w:sz w:val="20"/>
        </w:rPr>
        <w:t xml:space="preserve"> photo density map indicates revealed preferences of landscape users</w:t>
      </w:r>
      <w:r w:rsidRPr="004B458C">
        <w:rPr>
          <w:i/>
          <w:sz w:val="20"/>
        </w:rPr>
        <w:t>.</w:t>
      </w:r>
      <w:r w:rsidRPr="004B458C">
        <w:rPr>
          <w:sz w:val="20"/>
        </w:rPr>
        <w:t xml:space="preserve"> Thus, one should consider that extrapolated stated preferences from the choice experiment indicate the potential of the agricultural landscape to provide aesthetic enjoyment by visitors, whereas the </w:t>
      </w:r>
      <w:proofErr w:type="spellStart"/>
      <w:r w:rsidRPr="004B458C">
        <w:rPr>
          <w:sz w:val="20"/>
        </w:rPr>
        <w:t>Panoramio</w:t>
      </w:r>
      <w:proofErr w:type="spellEnd"/>
      <w:r w:rsidRPr="004B458C">
        <w:rPr>
          <w:sz w:val="20"/>
        </w:rPr>
        <w:t xml:space="preserve"> map is an indicator of where services are actually provided, which is also determined by accessibility of the landscape and the locations of tourism accommodations. Moreover, except for the four landscape attributes that are included in the choice experiment, there may be other specific attributes of the agricultural landscape that trigger higher photo densities (e.g., traditional farm buildings, variations in grassland management).</w:t>
      </w:r>
    </w:p>
    <w:p w:rsidR="003F789A" w:rsidRPr="004B458C" w:rsidRDefault="003F789A" w:rsidP="008C28CE">
      <w:pPr>
        <w:spacing w:line="360" w:lineRule="auto"/>
        <w:rPr>
          <w:sz w:val="20"/>
        </w:rPr>
      </w:pPr>
      <w:r w:rsidRPr="004B458C">
        <w:rPr>
          <w:sz w:val="20"/>
        </w:rPr>
        <w:t xml:space="preserve"> </w:t>
      </w:r>
    </w:p>
    <w:p w:rsidR="003F789A" w:rsidRPr="00BD5483" w:rsidRDefault="003F789A" w:rsidP="00BD5483">
      <w:pPr>
        <w:pStyle w:val="Heading3"/>
        <w:numPr>
          <w:ilvl w:val="2"/>
          <w:numId w:val="39"/>
        </w:numPr>
        <w:ind w:left="851" w:hanging="851"/>
      </w:pPr>
      <w:r>
        <w:t xml:space="preserve"> </w:t>
      </w:r>
      <w:bookmarkStart w:id="129" w:name="_Toc436915630"/>
      <w:bookmarkStart w:id="130" w:name="_Toc436916069"/>
      <w:r w:rsidRPr="00BD5483">
        <w:t>Conclusions</w:t>
      </w:r>
      <w:bookmarkEnd w:id="129"/>
      <w:bookmarkEnd w:id="130"/>
    </w:p>
    <w:p w:rsidR="003F789A" w:rsidRPr="004B458C" w:rsidRDefault="003F789A" w:rsidP="008C28CE">
      <w:pPr>
        <w:spacing w:line="360" w:lineRule="auto"/>
        <w:rPr>
          <w:sz w:val="20"/>
        </w:rPr>
      </w:pPr>
      <w:r w:rsidRPr="004B458C">
        <w:rPr>
          <w:sz w:val="20"/>
        </w:rPr>
        <w:t xml:space="preserve">To identify the aesthetic value of a landscape, the choice experiment based approach proposed in this paper addresses some of the shortcomings in mapping approaches existing in the literature. First, the approach is based on a careful selection process of relevant landscape attributes, using both a European level meta-analytic categorization and local expert and stakeholder knowledge. Second, as many other studies have shown </w:t>
      </w:r>
      <w:r w:rsidRPr="004B458C">
        <w:rPr>
          <w:sz w:val="20"/>
        </w:rPr>
        <w:fldChar w:fldCharType="begin" w:fldLock="1"/>
      </w:r>
      <w:r w:rsidRPr="004B458C">
        <w:rPr>
          <w:sz w:val="20"/>
        </w:rPr>
        <w:instrText>ADDIN CSL_CITATION { "citationItems" : [ { "id" : "ITEM-1", "itemData" : { "DOI" : "10.1111/j.1365-2664.2010.01777.x", "ISBN" : "0021-8901", "ISSN" : "00218901", "abstract" : "P&gt;1. An increasing number of studies are examining the distribution and congruence of ecosystem services, often with the goal of identifying areas that will provide multiple ecosystem service 'hotspots'. However, there is a paucity of data on most ecosystem services, so proxies (e.g. estimates of a service for a particular land cover type) are frequently used to map their distribution. To date, there has been little attempt to quantify the effects of using proxies on distribution maps of ecosystem services, despite the potentially large errors associated with such data sets. 2. Here, we provide the first study examining the effects of using proxies on ecosystem service maps and the degree of spatial congruence of these maps with primary data, using England as a case study. 3. We show that land cover based proxies provide a poor fit to primary data surfaces for biodiversity, recreation and carbon storage, and that correlations between ecosystem services change depending on whether primary or proxy data are used for the analyses. 4. The poor fit of proxies to primary data was also evident when we selected hotspots of single ecosystem services, and consistency between raw and modelled surfaces was extremely low when considering the locations that were coincident hotspots for multiple services. 5. Synthesis and applications. Proxies may be suitable for identifying broad-scale trends in ecosystem services, but even relatively good proxies are likely to be unsuitable for identifying hotspots or priority areas for multiple services.", "author" : [ { "dropping-particle" : "", "family" : "Eigenbrod", "given" : "Felix", "non-dropping-particle" : "", "parse-names" : false, "suffix" : "" }, { "dropping-particle" : "", "family" : "Armsworth", "given" : "Paul R.", "non-dropping-particle" : "", "parse-names" : false, "suffix" : "" }, { "dropping-particle" : "", "family" : "Anderson", "given" : "Barbara J.", "non-dropping-particle" : "", "parse-names" : false, "suffix" : "" }, { "dropping-particle" : "", "family" : "Heinemeyer", "given" : "Andreas", "non-dropping-particle" : "", "parse-names" : false, "suffix" : "" }, { "dropping-particle" : "", "family" : "Gillings", "given" : "Simon", "non-dropping-particle" : "", "parse-names" : false, "suffix" : "" }, { "dropping-particle" : "", "family" : "Roy", "given" : "David B.", "non-dropping-particle" : "", "parse-names" : false, "suffix" : "" }, { "dropping-particle" : "", "family" : "Thomas", "given" : "Chris D.", "non-dropping-particle" : "", "parse-names" : false, "suffix" : "" }, { "dropping-particle" : "", "family" : "Gaston", "given" : "Kevin J.", "non-dropping-particle" : "", "parse-names" : false, "suffix" : "" } ], "container-title" : "Journal of Applied Ecology", "id" : "ITEM-1", "issue" : "2", "issued" : { "date-parts" : [ [ "2010" ] ] }, "page" : "377-385", "title" : "The impact of proxy-based methods on mapping the distribution of ecosystem services", "type" : "article-journal", "volume" : "47" }, "uris" : [ "http://www.mendeley.com/documents/?uuid=8c88abed-7bc7-4424-bb00-7eff67aea778" ] } ], "mendeley" : { "formattedCitation" : "(Eigenbrod et al., 2010)", "manualFormatting" : "(e.g. Eigenbrod et al., 2010)", "plainTextFormattedCitation" : "(Eigenbrod et al., 2010)", "previouslyFormattedCitation" : "(Eigenbrod et al., 2010)" }, "properties" : { "noteIndex" : 0 }, "schema" : "https://github.com/citation-style-language/schema/raw/master/csl-citation.json" }</w:instrText>
      </w:r>
      <w:r w:rsidRPr="004B458C">
        <w:rPr>
          <w:sz w:val="20"/>
        </w:rPr>
        <w:fldChar w:fldCharType="separate"/>
      </w:r>
      <w:r w:rsidRPr="004B458C">
        <w:rPr>
          <w:noProof/>
          <w:sz w:val="20"/>
        </w:rPr>
        <w:t>(e.g. Eigenbrod et al., 2010)</w:t>
      </w:r>
      <w:r w:rsidRPr="004B458C">
        <w:rPr>
          <w:sz w:val="20"/>
        </w:rPr>
        <w:fldChar w:fldCharType="end"/>
      </w:r>
      <w:r w:rsidRPr="004B458C">
        <w:rPr>
          <w:sz w:val="20"/>
        </w:rPr>
        <w:t xml:space="preserve">, value-transfer based on simple ecological proxies leads to poor estimates of cultural ecosystem services due to contextual biases </w:t>
      </w:r>
      <w:r w:rsidRPr="004B458C">
        <w:rPr>
          <w:sz w:val="20"/>
        </w:rPr>
        <w:fldChar w:fldCharType="begin" w:fldLock="1"/>
      </w:r>
      <w:r w:rsidRPr="004B458C">
        <w:rPr>
          <w:sz w:val="20"/>
        </w:rPr>
        <w:instrText>ADDIN CSL_CITATION { "citationItems" : [ { "id" : "ITEM-1", "itemData" : { "DOI" : "10.1016/j.ecolmodel.2014.08.024", "ISSN" : "03043800", "author" : [ { "dropping-particle" : "", "family" : "Jacobs", "given" : "Sander", "non-dropping-particle" : "", "parse-names" : false, "suffix" : "" }, { "dropping-particle" : "", "family" : "Burkhard", "given" : "Benjamin", "non-dropping-particle" : "", "parse-names" : false, "suffix" : "" }, { "dropping-particle" : "", "family" : "Daele", "given" : "Toon", "non-dropping-particle" : "Van", "parse-names" : false, "suffix" : "" }, { "dropping-particle" : "", "family" : "Staes", "given" : "Jan", "non-dropping-particle" : "", "parse-names" : false, "suffix" : "" }, { "dropping-particle" : "", "family" : "Schneiders", "given" : "Anik", "non-dropping-particle" : "", "parse-names" : false, "suffix" : "" } ], "container-title" : "Ecological Modelling", "id" : "ITEM-1", "issued" : { "date-parts" : [ [ "2015" ] ] }, "page" : "21-30", "publisher" : "Elsevier B.V.", "title" : "\u2018The Matrix Reloaded\u2019: A review of expert knowledge use for mapping ecosystem services", "type" : "article-journal", "volume" : "295" }, "uris" : [ "http://www.mendeley.com/documents/?uuid=73d40178-6b70-469d-a572-818697934958" ] } ], "mendeley" : { "formattedCitation" : "(Jacobs et al., 2015)", "plainTextFormattedCitation" : "(Jacobs et al., 2015)", "previouslyFormattedCitation" : "(Jacobs et al., 2015)" }, "properties" : { "noteIndex" : 0 }, "schema" : "https://github.com/citation-style-language/schema/raw/master/csl-citation.json" }</w:instrText>
      </w:r>
      <w:r w:rsidRPr="004B458C">
        <w:rPr>
          <w:sz w:val="20"/>
        </w:rPr>
        <w:fldChar w:fldCharType="separate"/>
      </w:r>
      <w:r w:rsidRPr="004B458C">
        <w:rPr>
          <w:noProof/>
          <w:sz w:val="20"/>
        </w:rPr>
        <w:t>(Jacobs et al., 2015)</w:t>
      </w:r>
      <w:r w:rsidRPr="004B458C">
        <w:rPr>
          <w:sz w:val="20"/>
        </w:rPr>
        <w:fldChar w:fldCharType="end"/>
      </w:r>
      <w:r w:rsidRPr="004B458C">
        <w:rPr>
          <w:sz w:val="20"/>
        </w:rPr>
        <w:t xml:space="preserve">. Our choice-based primary data approach avoids these types of biases. Third, the method enables an integrated evaluation of the landscape attributes within the visual landscape context as experienced by landscape users. In addition, applying a choice experiment introduces trade-offs and assessment of the relative importance of landscape attributes </w:t>
      </w:r>
      <w:r w:rsidRPr="004B458C">
        <w:rPr>
          <w:sz w:val="20"/>
        </w:rPr>
        <w:fldChar w:fldCharType="begin" w:fldLock="1"/>
      </w:r>
      <w:r w:rsidRPr="004B458C">
        <w:rPr>
          <w:sz w:val="20"/>
        </w:rPr>
        <w:instrText>ADDIN CSL_CITATION { "citationItems" : [ { "id" : "ITEM-1", "itemData" : { "DOI" : "10.1080/01426397.2010.536204", "ISSN" : "0142-6397", "author" : [ { "dropping-particle" : "", "family" : "Arnberger", "given" : "Arne", "non-dropping-particle" : "", "parse-names" : false, "suffix" : "" }, { "dropping-particle" : "", "family" : "Eder", "given" : "Renate", "non-dropping-particle" : "", "parse-names" : false, "suffix" : "" } ], "container-title" : "Landscape Research", "id" : "ITEM-1", "issue" : "1", "issued" : { "date-parts" : [ [ "2011", "2" ] ] }, "note" : "In first Selection", "page" : "19-40", "title" : "Exploring the Heterogeneity of Rural Landscape Preferences: An Image-Based Latent Class Approach", "type" : "article-journal", "volume" : "36" }, "uris" : [ "http://www.mendeley.com/documents/?uuid=6eb2bafb-fae6-4e10-94de-db455ac0828d" ] }, { "id" : "ITEM-2", "itemData" : { "DOI" : "10.1073/pnas.1114773109", "ISSN" : "1091-6490", "PMID" : "22615401", "abstract" : "Cultural ecosystem services (ES) are consistently recognized but not yet adequately defined or integrated within the ES framework. A substantial body of models, methods, and data relevant to cultural services has been developed within the social and behavioral sciences before and outside of the ES approach. A selective review of work in landscape aesthetics, cultural heritage, outdoor recreation, and spiritual significance demonstrates opportunities for operationally defining cultural services in terms of socioecological models, consistent with the larger set of ES. Such models explicitly link ecological structures and functions with cultural values and benefits, facilitating communication between scientists and stakeholders and enabling economic, multicriterion, deliberative evaluation and other methods that can clarify tradeoffs and synergies involving cultural ES. Based on this approach, a common representation is offered that frames cultural services, along with all ES, by the relative contribution of relevant ecological structures and functions and by applicable social evaluation approaches. This perspective provides a foundation for merging ecological and social science epistemologies to define and integrate cultural services better within the broader ES framework.", "author" : [ { "dropping-particle" : "", "family" : "Daniel", "given" : "Terry C", "non-dropping-particle" : "", "parse-names" : false, "suffix" : "" }, { "dropping-particle" : "", "family" : "Muhar", "given" : "Andreas", "non-dropping-particle" : "", "parse-names" : false, "suffix" : "" }, { "dropping-particle" : "", "family" : "Arnberger", "given" : "Arne", "non-dropping-particle" : "", "parse-names" : false, "suffix" : "" }, { "dropping-particle" : "", "family" : "Aznar", "given" : "Olivier", "non-dropping-particle" : "", "parse-names" : false, "suffix" : "" }, { "dropping-particle" : "", "family" : "Boyd", "given" : "James W", "non-dropping-particle" : "", "parse-names" : false, "suffix" : "" }, { "dropping-particle" : "", "family" : "Chan", "given" : "Kai M a", "non-dropping-particle" : "", "parse-names" : false, "suffix" : "" }, { "dropping-particle" : "", "family" : "Costanza", "given" : "Robert", "non-dropping-particle" : "", "parse-names" : false, "suffix" : "" }, { "dropping-particle" : "", "family" : "Elmqvist", "given" : "Thomas", "non-dropping-particle" : "", "parse-names" : false, "suffix" : "" }, { "dropping-particle" : "", "family" : "Flint", "given" : "Courtney G", "non-dropping-particle" : "", "parse-names" : false, "suffix" : "" }, { "dropping-particle" : "", "family" : "Gobster", "given" : "Paul H", "non-dropping-particle" : "", "parse-names" : false, "suffix" : "" }, { "dropping-particle" : "", "family" : "Gr\u00eat-Regamey", "given" : "Adrienne", "non-dropping-particle" : "", "parse-names" : false, "suffix" : "" }, { "dropping-particle" : "", "family" : "Lave", "given" : "Rebecca", "non-dropping-particle" : "", "parse-names" : false, "suffix" : "" }, { "dropping-particle" : "", "family" : "Muhar", "given" : "Susanne", "non-dropping-particle" : "", "parse-names" : false, "suffix" : "" }, { "dropping-particle" : "", "family" : "Penker", "given" : "Marianne", "non-dropping-particle" : "", "parse-names" : false, "suffix" : "" }, { "dropping-particle" : "", "family" : "Ribe", "given" : "Robert G", "non-dropping-particle" : "", "parse-names" : false, "suffix" : "" }, { "dropping-particle" : "", "family" : "Schauppenlehner", "given" : "Thomas", "non-dropping-particle" : "", "parse-names" : false, "suffix" : "" }, { "dropping-particle" : "", "family" : "Sikor", "given" : "Thomas", "non-dropping-particle" : "", "parse-names" : false, "suffix" : "" }, { "dropping-particle" : "", "family" : "Soloviy", "given" : "Ihor", "non-dropping-particle" : "", "parse-names" : false, "suffix" : "" }, { "dropping-particle" : "", "family" : "Spierenburg", "given" : "Marja", "non-dropping-particle" : "", "parse-names" : false, "suffix" : "" }, { "dropping-particle" : "", "family" : "Taczanowska", "given" : "Karolina", "non-dropping-particle" : "", "parse-names" : false, "suffix" : "" }, { "dropping-particle" : "", "family" : "Tam", "given" : "Jordan", "non-dropping-particle" : "", "parse-names" : false, "suffix" : "" }, { "dropping-particle" : "", "family" : "Dunk", "given" : "Andreas", "non-dropping-particle" : "von der", "parse-names" : false, "suffix" : "" } ], "container-title" : "Proceedings of the National Academy of Sciences of the United States of America", "id" : "ITEM-2", "issue" : "23", "issued" : { "date-parts" : [ [ "2012", "6", "5" ] ] }, "page" : "8812-9", "title" : "Contributions of cultural services to the ecosystem services agenda.", "type" : "article-journal", "volume" : "109" }, "uris" : [ "http://www.mendeley.com/documents/?uuid=055e146f-0f71-438d-86cf-a0920f85be21" ] } ], "mendeley" : { "formattedCitation" : "(Arnberger and Eder, 2011; Daniel et al., 2012)", "manualFormatting" : "(e.g. Arnberger and Eder, 2011; Daniel et al., 2012)", "plainTextFormattedCitation" : "(Arnberger and Eder, 2011; Daniel et al., 2012)", "previouslyFormattedCitation" : "(Arnberger and Eder, 2011; Daniel et al., 2012)" }, "properties" : { "noteIndex" : 0 }, "schema" : "https://github.com/citation-style-language/schema/raw/master/csl-citation.json" }</w:instrText>
      </w:r>
      <w:r w:rsidRPr="004B458C">
        <w:rPr>
          <w:sz w:val="20"/>
        </w:rPr>
        <w:fldChar w:fldCharType="separate"/>
      </w:r>
      <w:r w:rsidRPr="004B458C">
        <w:rPr>
          <w:noProof/>
          <w:sz w:val="20"/>
        </w:rPr>
        <w:t>(e.g. Arnberger and Eder, 2011; Daniel et al., 2012)</w:t>
      </w:r>
      <w:r w:rsidRPr="004B458C">
        <w:rPr>
          <w:sz w:val="20"/>
        </w:rPr>
        <w:fldChar w:fldCharType="end"/>
      </w:r>
      <w:r w:rsidRPr="004B458C">
        <w:rPr>
          <w:sz w:val="20"/>
        </w:rPr>
        <w:t xml:space="preserve">. It is often the combination and/or the configuration of landscape characteristics that contributes to its aesthetic value. Fourth, landscape preferences are measured from a visual landscape perspective to provide realistic surrogate for a real landscape experience, which enables the inclusion of relevant attributes at that occur at different scales in the visual landscape, ranging from livestock to land cover composition. By representing the regional range of occurrence of landscape attributes in the choice experiment the results become useful for mapping. </w:t>
      </w:r>
    </w:p>
    <w:p w:rsidR="003F789A" w:rsidRDefault="003F789A" w:rsidP="00BD5483">
      <w:pPr>
        <w:spacing w:line="360" w:lineRule="auto"/>
        <w:rPr>
          <w:sz w:val="20"/>
        </w:rPr>
      </w:pPr>
      <w:r w:rsidRPr="00BD5483">
        <w:rPr>
          <w:sz w:val="20"/>
        </w:rPr>
        <w:t>Although the implementation of the approach is region-specific, the overall methodology is easily transferable between different regions and beneficiary groups. In that sense, our method can be regarded as a generic methodology for context-sensitive mapping values of aesthetic ecosystem services.</w:t>
      </w:r>
    </w:p>
    <w:p w:rsidR="003F789A" w:rsidRPr="00BD5483" w:rsidRDefault="003F789A" w:rsidP="00BD5483">
      <w:pPr>
        <w:spacing w:line="360" w:lineRule="auto"/>
        <w:rPr>
          <w:sz w:val="20"/>
        </w:rPr>
      </w:pPr>
    </w:p>
    <w:p w:rsidR="003F789A" w:rsidRPr="006D566F" w:rsidRDefault="003F789A" w:rsidP="006D566F">
      <w:pPr>
        <w:rPr>
          <w:rFonts w:ascii="Arial Bold" w:hAnsi="Arial Bold"/>
          <w:b/>
          <w:color w:val="339966"/>
          <w:sz w:val="36"/>
        </w:rPr>
      </w:pPr>
      <w:r w:rsidRPr="006D566F">
        <w:rPr>
          <w:rFonts w:ascii="Arial Bold" w:hAnsi="Arial Bold"/>
          <w:b/>
          <w:color w:val="339966"/>
          <w:sz w:val="36"/>
        </w:rPr>
        <w:t>References</w:t>
      </w:r>
    </w:p>
    <w:p w:rsidR="003F789A" w:rsidRPr="00BD5483" w:rsidRDefault="003F789A" w:rsidP="00BD5483"/>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sz w:val="20"/>
          <w:szCs w:val="20"/>
        </w:rPr>
        <w:fldChar w:fldCharType="begin" w:fldLock="1"/>
      </w:r>
      <w:r w:rsidRPr="008C28CE">
        <w:rPr>
          <w:rFonts w:ascii="Arial" w:hAnsi="Arial"/>
          <w:sz w:val="20"/>
          <w:szCs w:val="20"/>
        </w:rPr>
        <w:instrText xml:space="preserve">ADDIN Mendeley Bibliography CSL_BIBLIOGRAPHY </w:instrText>
      </w:r>
      <w:r w:rsidRPr="008C28CE">
        <w:rPr>
          <w:rFonts w:ascii="Arial" w:hAnsi="Arial"/>
          <w:sz w:val="20"/>
          <w:szCs w:val="20"/>
        </w:rPr>
        <w:fldChar w:fldCharType="separate"/>
      </w:r>
      <w:r w:rsidRPr="008C28CE">
        <w:rPr>
          <w:rFonts w:ascii="Arial" w:hAnsi="Arial"/>
          <w:noProof/>
          <w:sz w:val="20"/>
          <w:szCs w:val="20"/>
        </w:rPr>
        <w:t xml:space="preserve">Alessa, L. (Naia), Kliskey, A. (Anaru), Brown, G., 2008. Social-ecological hotspots mapping: A spatial approach for identifying coupled social-ecological space. </w:t>
      </w:r>
      <w:r w:rsidRPr="008125BB">
        <w:rPr>
          <w:rFonts w:ascii="Arial" w:hAnsi="Arial"/>
          <w:noProof/>
          <w:sz w:val="20"/>
          <w:szCs w:val="20"/>
          <w:lang w:val="nl-NL"/>
        </w:rPr>
        <w:t>Landsc. Urban Plan. 85, 27–39. doi:10.1016/j.landurbplan.2007.09.007</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lastRenderedPageBreak/>
        <w:t xml:space="preserve">Alterra Wageningen UR, 2006. Visueel Ruimtelijk Informatiesysteem (VIRIS) [WWW Document]. </w:t>
      </w:r>
      <w:r w:rsidRPr="008C28CE">
        <w:rPr>
          <w:rFonts w:ascii="Arial" w:hAnsi="Arial"/>
          <w:noProof/>
          <w:sz w:val="20"/>
          <w:szCs w:val="20"/>
        </w:rPr>
        <w:t>URL http://www.wageningenur.nl/nl/show/VIRIS.htm (accessed 5.12.13).</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Andersson, E., McPhearson, T., Kremer, P., Gomez-Baggethun, E. Haase, D., Tuvendal, M., Wurster, D., 2015. Scale and Context Dependence of Ecosystem Service Providing Units. Ecosyst. Serv. doi:10.1016/j.ecoser.2014.08.001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Antrop, M., 2000. Background concepts for integrated landscape analysis. Agric. Ecosyst. Environ. 77, 17–28.</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Appleton, K., Lovett, A., 2003. GIS-based visualisation of rural landscapes: defining “sufficient” realism for environmental decision-making. Landsc. Urban Plan. 65, 117–131. doi:10.1016/S0169-2046(02)00245-1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Arnberger, A., Eder, R., 2011. Exploring the Heterogeneity of Rural Landscape Preferences: An Image-Based Latent Class Approach. Landsc. Res. 36, 19–40. doi:10.1080/01426397.2010.536204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Bäcklund, A., Schenk, A., Atger, F., 2011. Understanding European Regional Diversity-Lessons learned from Case Studies, Research Reports in Human Geography.</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Blamey, R.K., Bennett, J.W., Louviere, J.J., Morrison, M.D., Rolfe, J.C., 2002. Attribute causality in environmental choice modelling. Environ. Resour. Econ. 23, 167–186. doi:10.1023/A:1021202425295</w:t>
      </w:r>
    </w:p>
    <w:p w:rsidR="003F789A" w:rsidRPr="008C28CE" w:rsidRDefault="003F789A" w:rsidP="008C28CE">
      <w:pPr>
        <w:pStyle w:val="NormalWeb"/>
        <w:spacing w:before="0" w:beforeAutospacing="0" w:after="120" w:afterAutospacing="0"/>
        <w:ind w:left="480" w:hanging="480"/>
        <w:rPr>
          <w:rFonts w:ascii="Arial" w:hAnsi="Arial"/>
          <w:noProof/>
          <w:sz w:val="20"/>
          <w:szCs w:val="20"/>
          <w:lang w:val="de-DE"/>
        </w:rPr>
      </w:pPr>
      <w:r w:rsidRPr="008C28CE">
        <w:rPr>
          <w:rFonts w:ascii="Arial" w:hAnsi="Arial"/>
          <w:noProof/>
          <w:sz w:val="20"/>
          <w:szCs w:val="20"/>
        </w:rPr>
        <w:t xml:space="preserve">Brown, G., Fagerholm, N., 2015. Empirical PPGIS/PGIS mapping of ecosystem services: A review and evaluation. </w:t>
      </w:r>
      <w:r w:rsidRPr="008C28CE">
        <w:rPr>
          <w:rFonts w:ascii="Arial" w:hAnsi="Arial"/>
          <w:noProof/>
          <w:sz w:val="20"/>
          <w:szCs w:val="20"/>
          <w:lang w:val="de-DE"/>
        </w:rPr>
        <w:t>Ecosyst. Serv. 1–15. doi:10.1016/j.ecoser.2014.10.007</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lang w:val="de-DE"/>
        </w:rPr>
        <w:t xml:space="preserve">Burkhard, B., Kroll, F., Müller, F., Windhorst, W., 2009. </w:t>
      </w:r>
      <w:r w:rsidRPr="008C28CE">
        <w:rPr>
          <w:rFonts w:ascii="Arial" w:hAnsi="Arial"/>
          <w:noProof/>
          <w:sz w:val="20"/>
          <w:szCs w:val="20"/>
        </w:rPr>
        <w:t>Landscapes‘ Capacities to Provide Ecosystem Services – a Concept for Land-Cover Based Assessments. Landsc. Online 15, 1–22. doi:10.3097/LO.200915</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Casado-Arzuaga, I., Onaindia, M., Madariaga, I., Verburg, P.H., 2013. Mapping recreation and aesthetic value of ecosystems in the Bilbao Metropolitan Greenbelt (northern Spain) to support landscape planning. Landsc. Ecol. 29, 1393–1405. doi:10.1007/s10980-013-9945-2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Casalegno, S., Inger, R., Desilvey, C., Gaston, K.J., 2013. Spatial covariance between aesthetic value &amp; other ecosystem services. PLoS One 8, e68437. doi:10.1371/journal.pone.0068437</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Chan, K.M.A., Guerry, A.D., Balvanera, P., Klain, S., Satterfield, T., Bostrom, A., Chuenpagdee, R., Gould, R., Halpern, B.S., Hannahs, N., Levine, J., Norton, B., Ruckelshaus, M., Russell, R., Tam, J., Woodside, U., 2012. Where are Cultural and Social in Ecosystem Services? A Framework for Constructive Engagement. Bioscience 62, 744–756. doi:10.1525/bio.2012.62.8.7</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Crossman, N.D., Burkhard, B., Nedkov, S., Willemen, L., Petz, K., Palomo, I., Drakou, E.G., Martín-Lopez, B., McPhearson, T., Boyanova, K., Alkemade, R., Egoh, B., Dunbar, M.B., Maes, J., 2013. A blueprint for mapping and modelling ecosystem services. Ecosyst. Serv. 4, 4–14. doi:10.1016/j.ecoser.2013.02.001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Daniel, T.C., 2001. Whither scenic beauty? Visual landscape quality assessment in the 21st century. Landsc. Urban Plan. 54, 267–281. doi:10.1016/S0169-2046(01)00141-4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Daniel, T.C., Boster, R.S., 1976. Measuring landscape esthetics: the scenic beauty estimation method, USDA Forest Service Research Paper.</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Daniel, T.C., Muhar, A., Arnberger, A., Aznar, O., Boyd, J.W., Chan, K.M. a, Costanza, R., Elmqvist, T., Flint, C.G., Gobster, P.H., Grêt-Regamey, A., Lave, R., Muhar, S., Penker, M., Ribe, R.G., Schauppenlehner, T., Sikor, T., Soloviy, I., Spierenburg, M., Taczanowska, K., Tam, J., von der Dunk, A., 2012. Contributions of cultural services to the ecosystem services agenda. Proc. Natl. Acad. Sci. U. S. A. 109, 8812–9. doi:10.1073/pnas.1114773109</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Dramstad, W.E., Tveit, M.S., Fjellstad, W.J., Fry, G.L. a., 2006. Relationships between visual landscape preferences and map-based indicators of landscape structure. Landsc. Urban Plan. 78, 465–474. doi:10.1016/j.landurbplan.2005.12.006</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lastRenderedPageBreak/>
        <w:t>EAA (European Environment Agency), 2012. CORINE Land Cover 2006 raster data – 100 m, version 16 [WWW Document].</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Eigenbrod, F., Armsworth, P.R., Anderson, B.J., Heinemeyer, A., Gillings, S., Roy, D.B., Thomas, C.D., Gaston, K.J., 2010. The impact of proxy-based methods on mapping the distribution of ecosystem services. J. Appl. Ecol. 47, 377–385. doi:10.1111/j.1365-2664.2010.01777.x</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Fagerholm, N., Käyhkö, N., Ndumbaro, F., Khamis, M., 2012. Community stakeholders’ knowledge in landscape assessments – Mapping indicators for landscape services. </w:t>
      </w:r>
      <w:r w:rsidRPr="008125BB">
        <w:rPr>
          <w:rFonts w:ascii="Arial" w:hAnsi="Arial"/>
          <w:noProof/>
          <w:sz w:val="20"/>
          <w:szCs w:val="20"/>
          <w:lang w:val="nl-NL"/>
        </w:rPr>
        <w:t>Ecol. Indic. 18, 421–433. doi:10.1016/j.ecolind.2011.12.004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Geijzendorffer, I.R., Roche, P.K., 2014. </w:t>
      </w:r>
      <w:r w:rsidRPr="008C28CE">
        <w:rPr>
          <w:rFonts w:ascii="Arial" w:hAnsi="Arial"/>
          <w:noProof/>
          <w:sz w:val="20"/>
          <w:szCs w:val="20"/>
        </w:rPr>
        <w:t>The relevant scales of ecosystem services demand. Ecosyst. Serv. 10, 49–51. doi:10.1016/j.ecoser.2014.09.002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Grêt-regamey, A., Weibel, B., Kienast, F., Rabe, S., Zulian, G., 2014. A tiered approach for mapping ecosystem services. Ecosyst. Serv. 1–11. doi:10.1016/j.ecoser.2014.10.008</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Hanley, N., Wright, R.E., Adamowicz, V.I.C., 1998. Using Choice Experiments to Value the Environment. Environ. Resour. Econ. 11, 413–428.</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Howley, P., 2011. Landscape aesthetics: Assessing the general publics’ preferences towards rural landscapes. Ecol. Econ. 72, 161–169. doi:10.1016/j.ecolecon.2011.09.026</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Hoyos, D., 2010. The state of the art of environmental valuation with discrete choice experiments. Ecol. Econ. 69, 1595–1603. doi:10.1016/j.ecolecon.2010.04.011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Hull, R.H., Stewart, W., 1992. Validity of photo-based scenic beauty judgments. J. Environ. Psychol. 101–114.</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Hynes, S., Campbell, D., 2011. Estimating the welfare impacts of agricultural landscape change in Ireland: a choice experiment approach. </w:t>
      </w:r>
      <w:r w:rsidRPr="008125BB">
        <w:rPr>
          <w:rFonts w:ascii="Arial" w:hAnsi="Arial"/>
          <w:noProof/>
          <w:sz w:val="20"/>
          <w:szCs w:val="20"/>
          <w:lang w:val="nl-NL"/>
        </w:rPr>
        <w:t>J. Environ. Plan. Manag. 54, 1019–1039. doi:10.1080/09640568.2010.547691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Jacobs, S., Burkhard, B., Van Daele, T., Staes, J., Schneiders, A., 2015. </w:t>
      </w:r>
      <w:r w:rsidRPr="008C28CE">
        <w:rPr>
          <w:rFonts w:ascii="Arial" w:hAnsi="Arial"/>
          <w:noProof/>
          <w:sz w:val="20"/>
          <w:szCs w:val="20"/>
        </w:rPr>
        <w:t>“The Matrix Reloaded”: A review of expert knowledge use for mapping ecosystem services. Ecol. Modell. 295, 21–30. doi:10.1016/j.ecolmodel.2014.08.024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Kadaster, 2013. TOP10NL [WWW Document]. URL https://www.pdok.nl/nl/producten/pdok-downloads/basis-registratie-topografie/topnl/topnl-actueel/top10nl (accessed 6.8.13).</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125BB">
        <w:rPr>
          <w:rFonts w:ascii="Arial" w:hAnsi="Arial"/>
          <w:noProof/>
          <w:sz w:val="20"/>
          <w:szCs w:val="20"/>
          <w:lang w:val="nl-NL"/>
        </w:rPr>
        <w:t xml:space="preserve">Kienast, F., Bolliger, J., Potschin, M., de Groot, R.S., Verburg, P.H., Heller, I., Wascher, D., Haines-Young, R., 2009. </w:t>
      </w:r>
      <w:r w:rsidRPr="008C28CE">
        <w:rPr>
          <w:rFonts w:ascii="Arial" w:hAnsi="Arial"/>
          <w:noProof/>
          <w:sz w:val="20"/>
          <w:szCs w:val="20"/>
        </w:rPr>
        <w:t xml:space="preserve">Assessing landscape functions with broad-scale environmental data: insights gained from a prototype development for Europe. </w:t>
      </w:r>
      <w:r w:rsidRPr="008125BB">
        <w:rPr>
          <w:rFonts w:ascii="Arial" w:hAnsi="Arial"/>
          <w:noProof/>
          <w:sz w:val="20"/>
          <w:szCs w:val="20"/>
          <w:lang w:val="nl-NL"/>
        </w:rPr>
        <w:t>Environ. Manage. 44, 1099–120. doi:10.1007/s00267-009-9384-7</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125BB">
        <w:rPr>
          <w:rFonts w:ascii="Arial" w:hAnsi="Arial"/>
          <w:noProof/>
          <w:sz w:val="20"/>
          <w:szCs w:val="20"/>
          <w:lang w:val="nl-NL"/>
        </w:rPr>
        <w:t>Korevaar, H., Meulenkamp, W., Agricola, H., Geerts, R., van der Kolk, J., 2008. Kwaliteit van het landelijk gebied in drie Nationale Landschappen (Rural area quality in three Dutch “National Landscapes”) 94.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Louviere, J.J., Hensher, D.A., Swait, J.D., 2003. </w:t>
      </w:r>
      <w:r w:rsidRPr="008C28CE">
        <w:rPr>
          <w:rFonts w:ascii="Arial" w:hAnsi="Arial"/>
          <w:noProof/>
          <w:sz w:val="20"/>
          <w:szCs w:val="20"/>
        </w:rPr>
        <w:t>Stated Choice Methods: Analysis and Applications. Cambridge University Press, Cambridge.</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Martínez-Harms, M.J., Balvanera, P., 2012. Methods for mapping ecosystem service supply: a review. Int. J. Biodivers. Sci. Ecosyst. Serv. Manag. 8, 17–25. doi:10.1080/21513732.2012.663792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McFadden, D., 1974. Conditional logit analysis of qualitative choice behavior, in: Zarembaka, P. (Ed.), Frontiers in Econometrics. Academic Press, New York, pp. 105–142.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McPhearson, T., Kremer, P., Hamstead, Z. a., 2013. Mapping ecosystem services in New York City: Applying a social-ecological approach in urban vacant land. Ecosyst. Serv. 5, 11–26. doi:10.1016/j.ecoser.2013.06.005</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Naeff, H.S.D., Smit, R.A., Vos, E.C., 2014. </w:t>
      </w:r>
      <w:r w:rsidRPr="008125BB">
        <w:rPr>
          <w:rFonts w:ascii="Arial" w:hAnsi="Arial"/>
          <w:noProof/>
          <w:sz w:val="20"/>
          <w:szCs w:val="20"/>
          <w:lang w:val="nl-NL"/>
        </w:rPr>
        <w:t>Geactualiseerd GIAB bestand 2011 voor Nederland.</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Nahuelhual, L., Carmona, A., Lozada, P., Jaramillo, A., Aguayo, M., 2013. Mapping recreation and ecotourism as a cultural ecosystem service: An application at the local level in Southern Chile. Appl. Geogr. 40, 71–82. doi:10.1016/j.apgeog.2012.12.004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lastRenderedPageBreak/>
        <w:t>Ode, A., Fry, G., Tveit, M.S., Messager, P., Miller, D., 2009. Indicators of perceived naturalness as drivers of landscape preference. J. Environ. Manage. 90, 375–83. doi:10.1016/j.jenvman.2007.10.013</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Paracchini, M.L., Zulian, G., Kopperoinen, L., Maes, J., Schägner, J.P., Termansen, M., Zandersen, M., Perez-Soba, M., Scholefield, P. a., Bidoglio, G., 2014. Mapping cultural ecosystem services: A framework to assess the potential for outdoor recreation across the EU. Ecol. Indic. 45, 371–385. doi:10.1016/j.ecolind.2014.04.018</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Plieninger, T., Dijks, S., Oteros-rozas, E., Bieling, C., 2013. Assessing , mapping , and quantifying cultural ecosystem services at community level. Land use policy 33, 118–129. doi:10.1016/j.landusepol.2012.12.013</w:t>
      </w:r>
    </w:p>
    <w:p w:rsidR="003F789A" w:rsidRPr="008C28CE" w:rsidRDefault="003F789A" w:rsidP="008C28CE">
      <w:pPr>
        <w:pStyle w:val="NormalWeb"/>
        <w:spacing w:before="0" w:beforeAutospacing="0" w:after="120" w:afterAutospacing="0"/>
        <w:ind w:left="480" w:hanging="480"/>
        <w:rPr>
          <w:rFonts w:ascii="Arial" w:hAnsi="Arial"/>
          <w:noProof/>
          <w:sz w:val="20"/>
          <w:szCs w:val="20"/>
          <w:lang w:val="de-DE"/>
        </w:rPr>
      </w:pPr>
      <w:r w:rsidRPr="008C28CE">
        <w:rPr>
          <w:rFonts w:ascii="Arial" w:hAnsi="Arial"/>
          <w:noProof/>
          <w:sz w:val="20"/>
          <w:szCs w:val="20"/>
        </w:rPr>
        <w:t>Plieninger, T., Kizos, T., Bieling, C., Dû-blayo, L. Le, Budniok, M., Bürgi, M., Carole, L., 2015. Exploring ecosystem-change and society through a landscape lens</w:t>
      </w:r>
      <w:r w:rsidRPr="008C28CE">
        <w:rPr>
          <w:rFonts w:ascii="Arial" w:hAnsi="Calibri" w:cs="Calibri"/>
          <w:noProof/>
          <w:sz w:val="20"/>
          <w:szCs w:val="20"/>
        </w:rPr>
        <w:t> </w:t>
      </w:r>
      <w:r w:rsidRPr="008C28CE">
        <w:rPr>
          <w:rFonts w:ascii="Arial" w:hAnsi="Arial"/>
          <w:noProof/>
          <w:sz w:val="20"/>
          <w:szCs w:val="20"/>
        </w:rPr>
        <w:t xml:space="preserve">: recent progress in European landscape research. </w:t>
      </w:r>
      <w:r w:rsidRPr="008C28CE">
        <w:rPr>
          <w:rFonts w:ascii="Arial" w:hAnsi="Arial"/>
          <w:noProof/>
          <w:sz w:val="20"/>
          <w:szCs w:val="20"/>
          <w:lang w:val="de-DE"/>
        </w:rPr>
        <w:t>Ecol. Soc. 20, 5. doi:http://dx.doi.org/10.5751/</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lang w:val="de-DE"/>
        </w:rPr>
        <w:t xml:space="preserve">Plieninger, T., Schleyer, C., Schaich, H., Ohnesorge, B., Gerdes, H., Hernández-Morcillo, M., Bieling, C., 2012. </w:t>
      </w:r>
      <w:r w:rsidRPr="008C28CE">
        <w:rPr>
          <w:rFonts w:ascii="Arial" w:hAnsi="Arial"/>
          <w:noProof/>
          <w:sz w:val="20"/>
          <w:szCs w:val="20"/>
        </w:rPr>
        <w:t>Mainstreaming ecosystem services through reformed European agricultural policies. Conserv. Lett. 5, 281–288. doi:10.1111/j.1755-263X.2012.00240.x</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Rambonilaza, M., Dachary-Bernard, J., 2007. Land-use planning and public preferences: What can we learn from choice experiment method? Landsc. Urban Plan. 83, 318–326. doi:10.1016/j.landurbplan.2007.05.013</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Rehr, A.P., Williams, G.D., Levin, P.S., 2014. A test of the use of computer generated visualizations in support of ecosystem-based management. Mar. Policy 46, 14–18. doi:10.1016/j.marpol.2013.12.012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Rogge, E., Nevens, F., Gulinck, H., 2007. Perception of rural landscapes in Flanders: Looking beyond aesthetics. Landsc. Urban Plan. 82, 159–174. doi:10.1016/j.landurbplan.2007.02.006</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Schirpke, U., Tasser, E., Tappeiner, U., 2013. Predicting scenic beauty of mountain regions. </w:t>
      </w:r>
      <w:r w:rsidRPr="008125BB">
        <w:rPr>
          <w:rFonts w:ascii="Arial" w:hAnsi="Arial"/>
          <w:noProof/>
          <w:sz w:val="20"/>
          <w:szCs w:val="20"/>
          <w:lang w:val="nl-NL"/>
        </w:rPr>
        <w:t>Landsc. Urban Plan. 111, 1–12. doi:10.1016/j.landurbplan.2012.11.010</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Schulp, C.J.E., Burkhard, B., Maes, J., Vliet, J. Van, Verburg, P.H., 2014. </w:t>
      </w:r>
      <w:r w:rsidRPr="008C28CE">
        <w:rPr>
          <w:rFonts w:ascii="Arial" w:hAnsi="Arial"/>
          <w:noProof/>
          <w:sz w:val="20"/>
          <w:szCs w:val="20"/>
        </w:rPr>
        <w:t>Uncertainties in Ecosystem Service Maps: A Comparison on the European Scale. PLoS One 9. doi:10.1371/journal.pone.0109643</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Scott, M.J., Canter, D.V., 1997. Picture or place? A multiple sorting study of landscape. J. Environ. Psychol. 17, 263–281.</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Tveit, M., Ode, Å., Fry, G., 2006. Key concepts in a framework for analysing visual landscape character. </w:t>
      </w:r>
      <w:r w:rsidRPr="008125BB">
        <w:rPr>
          <w:rFonts w:ascii="Arial" w:hAnsi="Arial"/>
          <w:noProof/>
          <w:sz w:val="20"/>
          <w:szCs w:val="20"/>
          <w:lang w:val="nl-NL"/>
        </w:rPr>
        <w:t>Landsc. Res. 31, 229–255. doi:10.1080/01426390600783269</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125BB">
        <w:rPr>
          <w:rFonts w:ascii="Arial" w:hAnsi="Arial"/>
          <w:noProof/>
          <w:sz w:val="20"/>
          <w:szCs w:val="20"/>
          <w:lang w:val="nl-NL"/>
        </w:rPr>
        <w:t xml:space="preserve">Van Berkel, D.B., Verburg, P.H., 2012. </w:t>
      </w:r>
      <w:r w:rsidRPr="008C28CE">
        <w:rPr>
          <w:rFonts w:ascii="Arial" w:hAnsi="Arial"/>
          <w:noProof/>
          <w:sz w:val="20"/>
          <w:szCs w:val="20"/>
        </w:rPr>
        <w:t xml:space="preserve">Combining exploratory scenarios and participatory backcasting: using an agent-based model in participatory policy design for a multi-functional landscape. </w:t>
      </w:r>
      <w:r w:rsidRPr="008125BB">
        <w:rPr>
          <w:rFonts w:ascii="Arial" w:hAnsi="Arial"/>
          <w:noProof/>
          <w:sz w:val="20"/>
          <w:szCs w:val="20"/>
          <w:lang w:val="nl-NL"/>
        </w:rPr>
        <w:t>Landsc. Ecol. 27, 641–658. doi:10.1007/s10980-012-9730-7</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Van Berkel, D.B., Verburg, P.H., 2014. </w:t>
      </w:r>
      <w:r w:rsidRPr="008C28CE">
        <w:rPr>
          <w:rFonts w:ascii="Arial" w:hAnsi="Arial"/>
          <w:noProof/>
          <w:sz w:val="20"/>
          <w:szCs w:val="20"/>
        </w:rPr>
        <w:t>Spatial quantification and valuation of cultural ecosystem services in an agricultural landscape. Ecol. Indic. 37, 163–174. doi:10.1016/j.ecolind.2012.06.025</w:t>
      </w:r>
    </w:p>
    <w:p w:rsidR="003F789A" w:rsidRPr="008125BB" w:rsidRDefault="003F789A" w:rsidP="008C28CE">
      <w:pPr>
        <w:pStyle w:val="NormalWeb"/>
        <w:spacing w:before="0" w:beforeAutospacing="0" w:after="120" w:afterAutospacing="0"/>
        <w:ind w:left="480" w:hanging="480"/>
        <w:rPr>
          <w:rFonts w:ascii="Arial" w:hAnsi="Arial"/>
          <w:noProof/>
          <w:sz w:val="20"/>
          <w:szCs w:val="20"/>
          <w:lang w:val="nl-NL"/>
        </w:rPr>
      </w:pPr>
      <w:r w:rsidRPr="008C28CE">
        <w:rPr>
          <w:rFonts w:ascii="Arial" w:hAnsi="Arial"/>
          <w:noProof/>
          <w:sz w:val="20"/>
          <w:szCs w:val="20"/>
        </w:rPr>
        <w:t xml:space="preserve">Van Zanten, B.T., Verburg, P.H., Espinosa, M., Gomez-y-Paloma, S., Galimberti, G., Kantelhardt, J., Kapfer, M., Lefebvre, M., Manrique, R., Piorr, A., Raggi, M., Schaller, L., Targetti, S., Zasada, I., Viaggi, D., 2014a. European agricultural landscapes, common agricultural policy and ecosystem services: a review. </w:t>
      </w:r>
      <w:r w:rsidRPr="008125BB">
        <w:rPr>
          <w:rFonts w:ascii="Arial" w:hAnsi="Arial"/>
          <w:noProof/>
          <w:sz w:val="20"/>
          <w:szCs w:val="20"/>
          <w:lang w:val="nl-NL"/>
        </w:rPr>
        <w:t>Agron. Sustain. Dev. 34, 309–325. doi:10.1007/s13593-013-0183-4</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125BB">
        <w:rPr>
          <w:rFonts w:ascii="Arial" w:hAnsi="Arial"/>
          <w:noProof/>
          <w:sz w:val="20"/>
          <w:szCs w:val="20"/>
          <w:lang w:val="nl-NL"/>
        </w:rPr>
        <w:t xml:space="preserve">Van Zanten, B.T., Verburg, P.H., Koetse, M.J., van Beukering, P.J.H., 2014b. </w:t>
      </w:r>
      <w:r w:rsidRPr="008C28CE">
        <w:rPr>
          <w:rFonts w:ascii="Arial" w:hAnsi="Arial"/>
          <w:noProof/>
          <w:sz w:val="20"/>
          <w:szCs w:val="20"/>
        </w:rPr>
        <w:t>Preferences for European agrarian landscapes: A meta-analysis of case studies. Landsc. Urban Plan. 132, 89–101. doi:10.1016/j.landurbplan.2014.08.012</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Wildenbeest, G., 1989. Recent Farmers’ protests in a Dutch Municipality: the Legacy of the past, in: Boisserain, J., Verrips, J. (Eds.), Dutch Dilemmas: Anthropologist Look at the Netherlands. van Gorcum, Assen.</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lastRenderedPageBreak/>
        <w:t>Wood, S. a, Guerry, A.D., Silver, J.M., Lacayo, M., 2013. Using social media to quantify nature-based tourism and recreation., Scientific reports. doi:10.1038/srep02976</w:t>
      </w:r>
    </w:p>
    <w:p w:rsidR="003F789A" w:rsidRPr="008C28CE" w:rsidRDefault="003F789A" w:rsidP="008C28CE">
      <w:pPr>
        <w:pStyle w:val="NormalWeb"/>
        <w:spacing w:before="0" w:beforeAutospacing="0" w:after="120" w:afterAutospacing="0"/>
        <w:ind w:left="480" w:hanging="480"/>
        <w:rPr>
          <w:rFonts w:ascii="Arial" w:hAnsi="Arial"/>
          <w:noProof/>
          <w:sz w:val="20"/>
          <w:szCs w:val="20"/>
        </w:rPr>
      </w:pPr>
      <w:r w:rsidRPr="008C28CE">
        <w:rPr>
          <w:rFonts w:ascii="Arial" w:hAnsi="Arial"/>
          <w:noProof/>
          <w:sz w:val="20"/>
          <w:szCs w:val="20"/>
        </w:rPr>
        <w:t>Zhu, X., Pfueller, S., Whitelaw, P., Winter, C., 2010. Spatial differentiation of landscape values in the Murray River region of Victoria, Australia. Environ. Manage. 45, 896–911. doi:10.1007/s00267-010-9462-x</w:t>
      </w:r>
    </w:p>
    <w:p w:rsidR="003F789A" w:rsidRPr="008C28CE" w:rsidRDefault="003F789A" w:rsidP="008C28CE">
      <w:pPr>
        <w:spacing w:after="120" w:line="240" w:lineRule="auto"/>
      </w:pPr>
      <w:r w:rsidRPr="008C28CE">
        <w:rPr>
          <w:sz w:val="20"/>
        </w:rPr>
        <w:fldChar w:fldCharType="end"/>
      </w:r>
    </w:p>
    <w:p w:rsidR="003F789A" w:rsidRPr="00360E99" w:rsidRDefault="003F789A" w:rsidP="00BD5483">
      <w:pPr>
        <w:pStyle w:val="Heading1"/>
        <w:numPr>
          <w:ilvl w:val="0"/>
          <w:numId w:val="39"/>
        </w:numPr>
        <w:ind w:left="851" w:hanging="851"/>
      </w:pPr>
      <w:bookmarkStart w:id="131" w:name="_Toc436915631"/>
      <w:bookmarkStart w:id="132" w:name="_Toc436916070"/>
      <w:r w:rsidRPr="00360E99">
        <w:lastRenderedPageBreak/>
        <w:t xml:space="preserve">Applications of Socio-cultural </w:t>
      </w:r>
      <w:r>
        <w:t>v</w:t>
      </w:r>
      <w:r w:rsidRPr="00360E99">
        <w:t>aluation</w:t>
      </w:r>
      <w:bookmarkEnd w:id="109"/>
      <w:bookmarkEnd w:id="110"/>
      <w:bookmarkEnd w:id="131"/>
      <w:bookmarkEnd w:id="132"/>
    </w:p>
    <w:p w:rsidR="003F789A" w:rsidRPr="00E55058" w:rsidRDefault="003F789A" w:rsidP="006D566F">
      <w:pPr>
        <w:pStyle w:val="Heading2"/>
        <w:numPr>
          <w:ilvl w:val="1"/>
          <w:numId w:val="42"/>
        </w:numPr>
        <w:tabs>
          <w:tab w:val="left" w:pos="880"/>
        </w:tabs>
        <w:rPr>
          <w:rFonts w:ascii="Arial Bold" w:hAnsi="Arial Bold"/>
          <w:color w:val="339966"/>
        </w:rPr>
      </w:pPr>
      <w:bookmarkStart w:id="133" w:name="_Toc436757158"/>
      <w:bookmarkStart w:id="134" w:name="_Toc436758097"/>
      <w:bookmarkStart w:id="135" w:name="_Toc436915632"/>
      <w:bookmarkStart w:id="136" w:name="_Toc436916071"/>
      <w:r w:rsidRPr="00E55058">
        <w:rPr>
          <w:rFonts w:ascii="Arial Bold" w:hAnsi="Arial Bold"/>
          <w:color w:val="339966"/>
          <w:sz w:val="32"/>
        </w:rPr>
        <w:t>Introduction</w:t>
      </w:r>
      <w:bookmarkEnd w:id="133"/>
      <w:bookmarkEnd w:id="134"/>
      <w:bookmarkEnd w:id="135"/>
      <w:bookmarkEnd w:id="136"/>
    </w:p>
    <w:p w:rsidR="003F789A" w:rsidRPr="00F4289D" w:rsidRDefault="003F789A" w:rsidP="00E55058">
      <w:pPr>
        <w:tabs>
          <w:tab w:val="left" w:pos="880"/>
        </w:tabs>
        <w:spacing w:after="100" w:afterAutospacing="1" w:line="360" w:lineRule="auto"/>
        <w:rPr>
          <w:sz w:val="20"/>
        </w:rPr>
      </w:pPr>
      <w:r w:rsidRPr="00951BFC">
        <w:rPr>
          <w:sz w:val="20"/>
        </w:rPr>
        <w:t xml:space="preserve">In this chapter we introduce two examples of the use of SCV methods in practice. The first of these, by </w:t>
      </w:r>
      <w:r w:rsidRPr="008125BB">
        <w:rPr>
          <w:rStyle w:val="pagecontents1"/>
          <w:rFonts w:cs="Arial"/>
          <w:sz w:val="20"/>
          <w:lang w:val="en-US"/>
        </w:rPr>
        <w:t xml:space="preserve">Samantha Scholte, Maya Todorova, Astrid van </w:t>
      </w:r>
      <w:proofErr w:type="spellStart"/>
      <w:r w:rsidRPr="008125BB">
        <w:rPr>
          <w:rStyle w:val="pagecontents1"/>
          <w:rFonts w:cs="Arial"/>
          <w:sz w:val="20"/>
          <w:lang w:val="en-US"/>
        </w:rPr>
        <w:t>Teeffelen</w:t>
      </w:r>
      <w:proofErr w:type="spellEnd"/>
      <w:r w:rsidRPr="008125BB">
        <w:rPr>
          <w:rStyle w:val="pagecontents1"/>
          <w:rFonts w:cs="Arial"/>
          <w:sz w:val="20"/>
          <w:lang w:val="en-US"/>
        </w:rPr>
        <w:t xml:space="preserve"> and Peter </w:t>
      </w:r>
      <w:proofErr w:type="spellStart"/>
      <w:r w:rsidRPr="008125BB">
        <w:rPr>
          <w:rStyle w:val="pagecontents1"/>
          <w:rFonts w:cs="Arial"/>
          <w:sz w:val="20"/>
          <w:lang w:val="en-US"/>
        </w:rPr>
        <w:t>Verburg</w:t>
      </w:r>
      <w:proofErr w:type="spellEnd"/>
      <w:r w:rsidRPr="008125BB">
        <w:rPr>
          <w:rStyle w:val="pagecontents1"/>
          <w:rFonts w:cs="Arial"/>
          <w:sz w:val="20"/>
          <w:lang w:val="en-US"/>
        </w:rPr>
        <w:t xml:space="preserve">, </w:t>
      </w:r>
      <w:r w:rsidRPr="00951BFC">
        <w:rPr>
          <w:sz w:val="20"/>
        </w:rPr>
        <w:t>provides an example of how</w:t>
      </w:r>
      <w:r w:rsidRPr="00F4289D">
        <w:rPr>
          <w:sz w:val="20"/>
        </w:rPr>
        <w:t xml:space="preserve"> SCV was applied to the subject of wetland protection </w:t>
      </w:r>
      <w:r>
        <w:rPr>
          <w:sz w:val="20"/>
        </w:rPr>
        <w:t xml:space="preserve">in the OPERAs exemplar of the River Danube </w:t>
      </w:r>
      <w:r w:rsidRPr="00F4289D">
        <w:rPr>
          <w:sz w:val="20"/>
        </w:rPr>
        <w:t xml:space="preserve">in Bulgaria. Various international conservation agencies are looking to restore the wetlands along the river, but in common with many such initiatives, they have to combine this conservation with the needs of local people, where livelihoods depend on the resource or where local people have a particular values or understandings of the environment. </w:t>
      </w:r>
    </w:p>
    <w:p w:rsidR="003F789A" w:rsidRPr="00F4289D" w:rsidRDefault="003F789A" w:rsidP="00E55058">
      <w:pPr>
        <w:tabs>
          <w:tab w:val="left" w:pos="880"/>
        </w:tabs>
        <w:spacing w:after="100" w:afterAutospacing="1" w:line="360" w:lineRule="auto"/>
        <w:rPr>
          <w:sz w:val="20"/>
        </w:rPr>
      </w:pPr>
      <w:r w:rsidRPr="00F4289D">
        <w:rPr>
          <w:sz w:val="20"/>
        </w:rPr>
        <w:t>Scholte et al examine the influence of socio-cultural values on people’s relationship with ecosystem services</w:t>
      </w:r>
      <w:r>
        <w:rPr>
          <w:sz w:val="20"/>
        </w:rPr>
        <w:t xml:space="preserve"> (ES)</w:t>
      </w:r>
      <w:r w:rsidRPr="00F4289D">
        <w:rPr>
          <w:sz w:val="20"/>
        </w:rPr>
        <w:t xml:space="preserve">. This includes people’s awareness of these services and their relevance to their livelihoods. The authors undertook face-to-face interviews with farmers, fishermen and other residents of the Lower Danube in Bulgaria to determine how these socio-cultural values influenced people’s support or acceptance of wetland restoration. They identified cultural, </w:t>
      </w:r>
      <w:proofErr w:type="spellStart"/>
      <w:r w:rsidRPr="00F4289D">
        <w:rPr>
          <w:sz w:val="20"/>
        </w:rPr>
        <w:t>ecocentric</w:t>
      </w:r>
      <w:proofErr w:type="spellEnd"/>
      <w:r w:rsidRPr="00F4289D">
        <w:rPr>
          <w:sz w:val="20"/>
        </w:rPr>
        <w:t xml:space="preserve"> and economic values as well as the sources of negative perceptions. The authors examine the value of the ES concept for demonstrating links between the natural environment and human well-being. Through the interviews they also aimed to learn more about the value that people place on their local environment. </w:t>
      </w:r>
    </w:p>
    <w:p w:rsidR="003F789A" w:rsidRDefault="003F789A" w:rsidP="00E55058">
      <w:pPr>
        <w:tabs>
          <w:tab w:val="left" w:pos="880"/>
        </w:tabs>
        <w:spacing w:after="100" w:afterAutospacing="1" w:line="360" w:lineRule="auto"/>
        <w:rPr>
          <w:sz w:val="20"/>
        </w:rPr>
      </w:pPr>
      <w:r w:rsidRPr="00F4289D">
        <w:rPr>
          <w:sz w:val="20"/>
        </w:rPr>
        <w:t xml:space="preserve">The authors applied principal components analysis to the questionnaire data. In this particular example, they could identify no distinction between personal and social benefits. Nor did respondents distinguish between different types of wetland. The authors did uncover a higher level of awareness of regulating ecosystem services (RES) amongst farmers and fishermen rather amongst wider residents, but found that neither group valued these services as highly as some other ES. Indeed, fishermen were found to place a high value on cultural ecosystem services (CES). Scholte et al argue that these findings conform with the view of there being a continual scale between people’s </w:t>
      </w:r>
      <w:proofErr w:type="spellStart"/>
      <w:r w:rsidRPr="00F4289D">
        <w:rPr>
          <w:sz w:val="20"/>
        </w:rPr>
        <w:t>ecocentric</w:t>
      </w:r>
      <w:proofErr w:type="spellEnd"/>
      <w:r w:rsidRPr="00F4289D">
        <w:rPr>
          <w:sz w:val="20"/>
        </w:rPr>
        <w:t xml:space="preserve"> and instrumental values. CES were valued highly because of their cultural associations and connections to ways of life, including the collection or harvesting of food that might more immediately be judged to be a PES.  Consequently, the contribution of socio-demographic influences to people’s valuation of the environment may be less evident than beliefs and socio-cultural connections. By comparison, RES may be perceived as being more relevant to sustainability considerations. They also argue that people’s attachment to particular landscapes, such as wetlands, or to conservation and biodiversity, may be at a more general level.  However, while these </w:t>
      </w:r>
      <w:proofErr w:type="spellStart"/>
      <w:r w:rsidRPr="00F4289D">
        <w:rPr>
          <w:sz w:val="20"/>
        </w:rPr>
        <w:t>ecocentric</w:t>
      </w:r>
      <w:proofErr w:type="spellEnd"/>
      <w:r w:rsidRPr="00F4289D">
        <w:rPr>
          <w:sz w:val="20"/>
        </w:rPr>
        <w:t xml:space="preserve"> and cultural attachments may be strong, they can be dominated by more fundamental needs such as those associated with PES. Consequently, it is argued that conservation, including wetland restoration, needs to recognise these conflicting values and needs through the interaction and involvement of stakeholders in order to identify synergies and trade-offs.</w:t>
      </w:r>
    </w:p>
    <w:p w:rsidR="003F789A" w:rsidRDefault="003F789A" w:rsidP="00E55058">
      <w:pPr>
        <w:tabs>
          <w:tab w:val="left" w:pos="880"/>
        </w:tabs>
        <w:spacing w:after="100" w:afterAutospacing="1" w:line="360" w:lineRule="auto"/>
        <w:rPr>
          <w:sz w:val="20"/>
        </w:rPr>
      </w:pPr>
      <w:r>
        <w:rPr>
          <w:sz w:val="20"/>
        </w:rPr>
        <w:lastRenderedPageBreak/>
        <w:t xml:space="preserve">In the second paper, Deirdre Joyce presents a discussion of the nature of socio-cultural values and of the role of deliberative approaches in the context of the Dublin coastal exemplar in County Fingal. This introductory discussion is a necessary entre to the paper in that the objective of the exemplar was to explore the fundamental roots of local stakeholders’ values. The paper presents a different, more qualitative approach to SCV than the preceding papers, but also makes use of some of the same methods of participatory mapping and value rating, although in this instance both are intended more to inform the deliberation process itself. These steps were subsequently followed by face-to-face semi-structured interviews and a factor analysis (currently underway). Ultimately, it is proposed that the deliberation will conclude with a participatory multi-criteria analysis of alternative coastal scenarios. </w:t>
      </w:r>
    </w:p>
    <w:p w:rsidR="003F789A" w:rsidRPr="00F4289D" w:rsidRDefault="003F789A" w:rsidP="00E55058">
      <w:pPr>
        <w:tabs>
          <w:tab w:val="left" w:pos="880"/>
        </w:tabs>
        <w:spacing w:after="100" w:afterAutospacing="1" w:line="360" w:lineRule="auto"/>
        <w:rPr>
          <w:sz w:val="20"/>
        </w:rPr>
      </w:pPr>
      <w:r>
        <w:rPr>
          <w:sz w:val="20"/>
        </w:rPr>
        <w:t xml:space="preserve">Deirdre’s paper examines some of the approaches that have been used for SCV and deliberation to date. The paper questions some of the sequencing and structure of the ES Approaches in the context of communities where the socio-ecological relationship is based more on amenity, quality of life and intangible values.  The usefulness of the approach is gauged as a tool for local strategic land use planning and resource management. </w:t>
      </w:r>
    </w:p>
    <w:p w:rsidR="003F789A" w:rsidRDefault="003F789A" w:rsidP="00E55058">
      <w:pPr>
        <w:tabs>
          <w:tab w:val="left" w:pos="880"/>
        </w:tabs>
        <w:spacing w:after="0" w:line="360" w:lineRule="auto"/>
        <w:rPr>
          <w:rStyle w:val="pagecontents1"/>
          <w:rFonts w:cs="Arial"/>
          <w:b/>
          <w:sz w:val="24"/>
          <w:szCs w:val="24"/>
        </w:rPr>
      </w:pPr>
    </w:p>
    <w:p w:rsidR="003F789A" w:rsidRPr="005D128D" w:rsidRDefault="003F789A" w:rsidP="00305C8C">
      <w:pPr>
        <w:rPr>
          <w:rStyle w:val="pagecontents1"/>
          <w:rFonts w:cs="Arial"/>
          <w:color w:val="00B050"/>
          <w:sz w:val="40"/>
          <w:szCs w:val="40"/>
        </w:rPr>
      </w:pPr>
      <w:r>
        <w:rPr>
          <w:rStyle w:val="pagecontents1"/>
          <w:rFonts w:cs="Arial"/>
          <w:b/>
          <w:sz w:val="24"/>
          <w:szCs w:val="24"/>
        </w:rPr>
        <w:br w:type="page"/>
      </w:r>
      <w:r w:rsidRPr="005D128D">
        <w:rPr>
          <w:rStyle w:val="pagecontents1"/>
          <w:rFonts w:cs="Arial"/>
          <w:color w:val="00B050"/>
          <w:sz w:val="40"/>
          <w:szCs w:val="40"/>
        </w:rPr>
        <w:lastRenderedPageBreak/>
        <w:t>Paper 1</w:t>
      </w:r>
    </w:p>
    <w:p w:rsidR="003F789A" w:rsidRPr="005D128D" w:rsidRDefault="003F789A" w:rsidP="005D128D"/>
    <w:p w:rsidR="003F789A" w:rsidRPr="006D566F" w:rsidRDefault="003F789A" w:rsidP="006D566F">
      <w:pPr>
        <w:pStyle w:val="Heading2"/>
        <w:numPr>
          <w:ilvl w:val="1"/>
          <w:numId w:val="41"/>
        </w:numPr>
        <w:tabs>
          <w:tab w:val="left" w:pos="880"/>
        </w:tabs>
        <w:spacing w:line="240" w:lineRule="auto"/>
        <w:rPr>
          <w:rFonts w:ascii="Arial Bold" w:hAnsi="Arial Bold"/>
          <w:color w:val="339966"/>
        </w:rPr>
      </w:pPr>
      <w:bookmarkStart w:id="137" w:name="_Toc436757159"/>
      <w:bookmarkStart w:id="138" w:name="_Toc436758098"/>
      <w:bookmarkStart w:id="139" w:name="_Toc436915633"/>
      <w:bookmarkStart w:id="140" w:name="_Toc436916072"/>
      <w:r w:rsidRPr="006D566F">
        <w:rPr>
          <w:rFonts w:ascii="Arial Bold" w:hAnsi="Arial Bold"/>
          <w:color w:val="339966"/>
        </w:rPr>
        <w:t>Public support for wetland restoration: What is the link with ecosystem service values?</w:t>
      </w:r>
      <w:bookmarkEnd w:id="137"/>
      <w:bookmarkEnd w:id="138"/>
      <w:bookmarkEnd w:id="139"/>
      <w:bookmarkEnd w:id="140"/>
    </w:p>
    <w:p w:rsidR="003F789A" w:rsidRPr="008125BB" w:rsidRDefault="003F789A" w:rsidP="00E55058">
      <w:pPr>
        <w:tabs>
          <w:tab w:val="left" w:pos="880"/>
        </w:tabs>
        <w:spacing w:after="0" w:line="360" w:lineRule="auto"/>
        <w:rPr>
          <w:rStyle w:val="pagecontents1"/>
          <w:rFonts w:cs="Arial"/>
          <w:lang w:val="en-US"/>
        </w:rPr>
      </w:pPr>
    </w:p>
    <w:p w:rsidR="003F789A" w:rsidRPr="006D566F" w:rsidRDefault="003F789A" w:rsidP="006D566F">
      <w:pPr>
        <w:tabs>
          <w:tab w:val="left" w:pos="709"/>
        </w:tabs>
        <w:spacing w:after="0" w:line="360" w:lineRule="auto"/>
        <w:rPr>
          <w:rStyle w:val="pagecontents1"/>
          <w:rFonts w:cs="Arial"/>
          <w:b/>
          <w:sz w:val="20"/>
          <w:lang w:val="nl-NL"/>
        </w:rPr>
      </w:pPr>
      <w:r w:rsidRPr="008125BB">
        <w:rPr>
          <w:rStyle w:val="pagecontents1"/>
          <w:rFonts w:cs="Arial"/>
          <w:sz w:val="20"/>
          <w:lang w:val="en-US"/>
        </w:rPr>
        <w:tab/>
      </w:r>
      <w:r w:rsidRPr="006D566F">
        <w:rPr>
          <w:rStyle w:val="pagecontents1"/>
          <w:rFonts w:cs="Arial"/>
          <w:b/>
          <w:sz w:val="20"/>
          <w:lang w:val="nl-NL"/>
        </w:rPr>
        <w:t>Samantha S. K. Scholte, Maya Todorova, Astrid J.A. van Teeffelen, Peter H. Verburg</w:t>
      </w:r>
    </w:p>
    <w:p w:rsidR="003F789A" w:rsidRPr="008125BB" w:rsidRDefault="003F789A" w:rsidP="006D566F">
      <w:pPr>
        <w:tabs>
          <w:tab w:val="left" w:pos="709"/>
        </w:tabs>
        <w:ind w:firstLine="284"/>
        <w:rPr>
          <w:rStyle w:val="pagecontents1"/>
          <w:rFonts w:cs="Arial"/>
          <w:lang w:val="en-US"/>
        </w:rPr>
      </w:pPr>
      <w:r>
        <w:rPr>
          <w:rStyle w:val="pagecontents1"/>
          <w:rFonts w:cs="Arial"/>
          <w:lang w:val="nl-NL"/>
        </w:rPr>
        <w:tab/>
      </w:r>
      <w:r w:rsidRPr="008125BB">
        <w:rPr>
          <w:rStyle w:val="pagecontents1"/>
          <w:rFonts w:cs="Arial"/>
          <w:lang w:val="en-US"/>
        </w:rPr>
        <w:t>Paper submitted to Journal of Environmental Management</w:t>
      </w:r>
    </w:p>
    <w:p w:rsidR="003F789A" w:rsidRPr="0005062B" w:rsidRDefault="003F789A" w:rsidP="00E55058"/>
    <w:p w:rsidR="003F789A" w:rsidRPr="0005062B" w:rsidRDefault="003F789A" w:rsidP="006D566F">
      <w:pPr>
        <w:pStyle w:val="Heading3"/>
        <w:numPr>
          <w:ilvl w:val="0"/>
          <w:numId w:val="0"/>
        </w:numPr>
        <w:tabs>
          <w:tab w:val="left" w:pos="880"/>
          <w:tab w:val="left" w:pos="990"/>
        </w:tabs>
      </w:pPr>
      <w:bookmarkStart w:id="141" w:name="_Toc436757160"/>
      <w:bookmarkStart w:id="142" w:name="_Toc436758099"/>
      <w:bookmarkStart w:id="143" w:name="_Toc436915634"/>
      <w:bookmarkStart w:id="144" w:name="_Toc436916073"/>
      <w:r>
        <w:t xml:space="preserve">5.2.1 </w:t>
      </w:r>
      <w:r w:rsidRPr="0005062B">
        <w:t>Introduction</w:t>
      </w:r>
      <w:bookmarkEnd w:id="141"/>
      <w:bookmarkEnd w:id="142"/>
      <w:bookmarkEnd w:id="143"/>
      <w:bookmarkEnd w:id="144"/>
    </w:p>
    <w:p w:rsidR="003F789A" w:rsidRPr="00B420D1" w:rsidRDefault="003F789A" w:rsidP="00B420D1">
      <w:pPr>
        <w:rPr>
          <w:sz w:val="20"/>
        </w:rPr>
      </w:pPr>
      <w:r w:rsidRPr="00B420D1">
        <w:rPr>
          <w:sz w:val="20"/>
        </w:rPr>
        <w:t xml:space="preserve">Wetlands are of key importance to biodiversity conservation and important providers of a range of goods and services such as water quality improvement, flood abatement and carbon sequestration </w:t>
      </w:r>
      <w:r w:rsidRPr="00B420D1">
        <w:rPr>
          <w:sz w:val="20"/>
        </w:rPr>
        <w:fldChar w:fldCharType="begin" w:fldLock="1"/>
      </w:r>
      <w:r w:rsidRPr="00B420D1">
        <w:rPr>
          <w:sz w:val="20"/>
        </w:rPr>
        <w:instrText>ADDIN CSL_CITATION { "citationItems" : [ { "id" : "ITEM-1", "itemData" : { "DOI" : "10.1146/annurev.energy.30.050504.144248", "ISSN" : "1543-5938", "abstract" : "\u25aa Abstract\u2002Estimates of global wetland area range from 5.3 to 12.8 million km2. About half the global wetland area has been lost, but an international treaty (the 1971 Ramsar Convention) has helped 144 nations protect the most significant remaining wetlands. Because most nations lack wetland inventories, changes in the quantity and quality of the world's wetlands cannot be tracked adequately. Despite the likelihood that remaining wetlands occupy less than 9% of the earth's land area, they contribute more to annually renewable ecosystem services than their small area implies. Biodiversity support, water quality improvement, flood abatement, and carbon sequestration are key functions that are impaired when wetlands are lost or degraded. Restoration techniques are improving, although the recovery of lost biodiversity is challenged by invasive species, which thrive under disturbance and displace natives. Not all damages to wetlands are reversible, but it is not always clear how much can be retained through re...", "author" : [ { "dropping-particle" : "", "family" : "Zedler", "given" : "Joy B.", "non-dropping-particle" : "", "parse-names" : false, "suffix" : "" }, { "dropping-particle" : "", "family" : "Kercher", "given" : "Suzanne", "non-dropping-particle" : "", "parse-names" : false, "suffix" : "" } ], "container-title" : "Annual Review of Environment and Resources", "id" : "ITEM-1", "issue" : "1", "issued" : { "date-parts" : [ [ "2005", "11", "21" ] ] }, "language" : "en", "page" : "39-74", "publisher" : "Annual Reviews", "title" : "WETLAND RESOURCES: Status, Trends, Ecosystem Services, and Restorability", "type" : "article-journal", "volume" : "30" }, "uris" : [ "http://www.mendeley.com/documents/?uuid=9ae04d5c-3dc2-4fcc-9808-fb51dcaf6487" ] }, { "id" : "ITEM-2", "itemData" : { "DOI" : "10.1016/j.ecoser.2012.07.005", "ISSN" : "22120416", "abstract" : "This paper gives an overview of the value of ecosystem services of 10 main biomes expressed in monetary units. In total, over 320 publications were screened covering over 300 case study locations. Approximately 1350 value estimates were coded and stored in a searchable Ecosystem Service Value Database (ESVD). A selection of 665 value estimates was used for the analysis. Acknowledging the uncertainties and contextual nature of any valuation, the analysis shows that the total value of ecosystem services is considerable and ranges between 490 int$/year for the total bundle of ecosystem services that can potentially be provided by an \u2018average\u2019 hectare of open oceans to almost 350,000 int$/year for the potential services of an \u2018average\u2019 hectare of coral reefs. More importantly, our results show that most of this value is outside the market and best considered as non-tradable public benefits. The continued over-exploitation of ecosystems thus comes at the expense of the livelihood of the poor and future generations. Given that many of the positive externalities of ecosystems are lost or strongly reduced after land use conversion better accounting for the public goods and services provided by ecosystems is crucial to improve decision making and institutions for biodiversity conservation and sustainable ecosystem management.", "author" : [ { "dropping-particle" : "", "family" : "Groot", "given" : "Rudolf", "non-dropping-particle" : "de", "parse-names" : false, "suffix" : "" }, { "dropping-particle" : "", "family" : "Brander", "given" : "Luke", "non-dropping-particle" : "", "parse-names" : false, "suffix" : "" }, { "dropping-particle" : "", "family" : "Ploeg", "given" : "Sander", "non-dropping-particle" : "van der", "parse-names" : false, "suffix" : "" }, { "dropping-particle" : "", "family" : "Costanza", "given" : "Robert", "non-dropping-particle" : "", "parse-names" : false, "suffix" : "" }, { "dropping-particle" : "", "family" : "Bernard", "given" : "Florence", "non-dropping-particle" : "", "parse-names" : false, "suffix" : "" }, { "dropping-particle" : "", "family" : "Braat", "given" : "Leon", "non-dropping-particle" : "", "parse-names" : false, "suffix" : "" }, { "dropping-particle" : "", "family" : "Christie", "given" : "Mike", "non-dropping-particle" : "", "parse-names" : false, "suffix" : "" }, { "dropping-particle" : "", "family" : "Crossman", "given" : "Neville", "non-dropping-particle" : "", "parse-names" : false, "suffix" : "" }, { "dropping-particle" : "", "family" : "Ghermandi", "given" : "Andrea", "non-dropping-particle" : "", "parse-names" : false, "suffix" : "" }, { "dropping-particle" : "", "family" : "Hein", "given" : "Lars", "non-dropping-particle" : "", "parse-names" : false, "suffix" : "" }, { "dropping-particle" : "", "family" : "Hussain", "given" : "Salman", "non-dropping-particle" : "", "parse-names" : false, "suffix" : "" }, { "dropping-particle" : "", "family" : "Kumar", "given" : "Pushpam", "non-dropping-particle" : "", "parse-names" : false, "suffix" : "" }, { "dropping-particle" : "", "family" : "McVittie", "given" : "Alistair", "non-dropping-particle" : "", "parse-names" : false, "suffix" : "" }, { "dropping-particle" : "", "family" : "Portela", "given" : "Rosimeiry", "non-dropping-particle" : "", "parse-names" : false, "suffix" : "" }, { "dropping-particle" : "", "family" : "Rodriguez", "given" : "Luis C.", "non-dropping-particle" : "", "parse-names" : false, "suffix" : "" }, { "dropping-particle" : "", "family" : "Brink", "given" : "Patrick", "non-dropping-particle" : "ten", "parse-names" : false, "suffix" : "" }, { "dropping-particle" : "", "family" : "Beukering", "given" : "Pieter", "non-dropping-particle" : "van", "parse-names" : false, "suffix" : "" } ], "container-title" : "Ecosystem Services", "id" : "ITEM-2", "issue" : "1", "issued" : { "date-parts" : [ [ "2012", "7" ] ] }, "page" : "50-61", "title" : "Global estimates of the value of ecosystems and their services in monetary units", "type" : "article-journal", "volume" : "1" }, "uris" : [ "http://www.mendeley.com/documents/?uuid=4660422f-7f3e-4509-8e2b-bac8c95323ef" ] } ], "mendeley" : { "formattedCitation" : "(Zedler and Kercher 2005; de Groot et al 2012)", "plainTextFormattedCitation" : "(Zedler and Kercher 2005; de Groot et al 2012)", "previouslyFormattedCitation" : "(Zedler and Kercher 2005; de Groot et al 2012)" }, "properties" : { "noteIndex" : 0 }, "schema" : "https://github.com/citation-style-language/schema/raw/master/csl-citation.json" }</w:instrText>
      </w:r>
      <w:r w:rsidRPr="00B420D1">
        <w:rPr>
          <w:sz w:val="20"/>
        </w:rPr>
        <w:fldChar w:fldCharType="separate"/>
      </w:r>
      <w:r w:rsidRPr="00B420D1">
        <w:rPr>
          <w:noProof/>
          <w:sz w:val="20"/>
        </w:rPr>
        <w:t>(Zedler and Kercher 2005; de Groot et al 2012)</w:t>
      </w:r>
      <w:r w:rsidRPr="00B420D1">
        <w:rPr>
          <w:sz w:val="20"/>
        </w:rPr>
        <w:fldChar w:fldCharType="end"/>
      </w:r>
      <w:r w:rsidRPr="00B420D1">
        <w:rPr>
          <w:sz w:val="20"/>
        </w:rPr>
        <w:t xml:space="preserve">. Yet, wetland areas suffer greatly from overuse of resources, eutrophication and pollution, disconnection from parent rivers by dyke construction, water abstraction for industrial and domestic use, and land reclamation </w:t>
      </w:r>
      <w:r w:rsidRPr="00B420D1">
        <w:rPr>
          <w:sz w:val="20"/>
        </w:rPr>
        <w:fldChar w:fldCharType="begin" w:fldLock="1"/>
      </w:r>
      <w:r w:rsidRPr="00B420D1">
        <w:rPr>
          <w:sz w:val="20"/>
        </w:rPr>
        <w:instrText>ADDIN CSL_CITATION { "citationItems" : [ { "id" : "ITEM-1", "itemData" : { "DOI" : "10.1007/s00027-012-0278-z", "ISSN" : "1015-1621", "author" : [ { "dropping-particle" : "", "family" : "Junk", "given" : "Wolfgang J.", "non-dropping-particle" : "", "parse-names" : false, "suffix" : "" }, { "dropping-particle" : "", "family" : "An", "given" : "Shuqing", "non-dropping-particle" : "", "parse-names" : false, "suffix" : "" }, { "dropping-particle" : "", "family" : "Finlayson", "given" : "C. M.", "non-dropping-particle" : "", "parse-names" : false, "suffix" : "" }, { "dropping-particle" : "", "family" : "Gopal", "given" : "Brij", "non-dropping-particle" : "", "parse-names" : false, "suffix" : "" }, { "dropping-particle" : "", "family" : "Kv\u011bt", "given" : "Jan", "non-dropping-particle" : "", "parse-names" : false, "suffix" : "" }, { "dropping-particle" : "", "family" : "Mitchell", "given" : "Stephen A.", "non-dropping-particle" : "", "parse-names" : false, "suffix" : "" }, { "dropping-particle" : "", "family" : "Mitsch", "given" : "William J.", "non-dropping-particle" : "", "parse-names" : false, "suffix" : "" }, { "dropping-particle" : "", "family" : "Robarts", "given" : "Richard D.", "non-dropping-particle" : "", "parse-names" : false, "suffix" : "" } ], "container-title" : "Aquatic Sciences", "id" : "ITEM-1", "issue" : "1", "issued" : { "date-parts" : [ [ "2012", "10", "30" ] ] }, "page" : "151-167", "title" : "Current state of knowledge regarding the world\u2019s wetlands and their future under global climate change: a synthesis", "type" : "article-journal", "volume" : "75" }, "uris" : [ "http://www.mendeley.com/documents/?uuid=1325fe90-75d0-4adc-9871-40d898ad62b3" ] }, { "id" : "ITEM-2", "itemData" : { "DOI" : "10.1371/journal.pone.0081292", "ISSN" : "1932-6203", "PMID" : "24282580", "abstract" : "Meta-analysis of case studies has become an important tool for synthesizing case study findings in land change. Meta-analyses of deforestation, urbanization, desertification and change in shifting cultivation systems have been published. This present study adds to this literature, with an analysis of the proximate causes and underlying forces of wetland conversion at a global scale using two complementary approaches of systematic review. Firstly, a meta-analysis of 105 case-study papers describing wetland conversion was performed, showing that different combinations of multiple-factor proximate causes, and underlying forces, drive wetland conversion. Agricultural development has been the main proximate cause of wetland conversion, and economic growth and population density are the most frequently identified underlying forces. Secondly, to add a more quantitative component to the study, a logistic meta-regression analysis was performed to estimate the likelihood of wetland conversion worldwide, using globally-consistent biophysical and socioeconomic location factor maps. Significant factors explaining wetland conversion, in order of importance, are market influence, total wetland area (lower conversion probability), mean annual temperature and cropland or built-up area. The regression analyses results support the outcomes of the meta-analysis of the processes of conversion mentioned in the individual case studies. In other meta-analyses of land change, similar factors (e.g., agricultural development, population growth, market/economic factors) are also identified as important causes of various types of land change (e.g., deforestation, desertification). Meta-analysis helps to identify commonalities across the various local case studies and identify which variables may lead to individual cases to behave differently. The meta-regression provides maps indicating the likelihood of wetland conversion worldwide based on the location factors that have determined historic conversions.", "author" : [ { "dropping-particle" : "", "family" : "Asselen", "given" : "Sanneke", "non-dropping-particle" : "van", "parse-names" : false, "suffix" : "" }, { "dropping-particle" : "", "family" : "Verburg", "given" : "Peter H", "non-dropping-particle" : "", "parse-names" : false, "suffix" : "" }, { "dropping-particle" : "", "family" : "Vermaat", "given" : "Jan E", "non-dropping-particle" : "", "parse-names" : false, "suffix" : "" }, { "dropping-particle" : "", "family" : "Janse", "given" : "Jan H", "non-dropping-particle" : "", "parse-names" : false, "suffix" : "" } ], "container-title" : "PloS one", "id" : "ITEM-2", "issue" : "11", "issued" : { "date-parts" : [ [ "2013", "1", "25" ] ] }, "page" : "e81292", "title" : "Drivers of wetland conversion: a global meta-analysis.", "type" : "article-journal", "volume" : "8" }, "uris" : [ "http://www.mendeley.com/documents/?uuid=4fc86b0c-5233-4bee-8cc3-ce98c8ee166f" ] } ], "mendeley" : { "formattedCitation" : "(Junk et al 2012; van Asselen et al 2013)", "plainTextFormattedCitation" : "(Junk et al 2012; van Asselen et al 2013)", "previouslyFormattedCitation" : "(Junk et al 2012; van Asselen et al 2013)" }, "properties" : { "noteIndex" : 0 }, "schema" : "https://github.com/citation-style-language/schema/raw/master/csl-citation.json" }</w:instrText>
      </w:r>
      <w:r w:rsidRPr="00B420D1">
        <w:rPr>
          <w:sz w:val="20"/>
        </w:rPr>
        <w:fldChar w:fldCharType="separate"/>
      </w:r>
      <w:r w:rsidRPr="00B420D1">
        <w:rPr>
          <w:noProof/>
          <w:sz w:val="20"/>
        </w:rPr>
        <w:t>(Junk et al 2012; van Asselen et al 2013)</w:t>
      </w:r>
      <w:r w:rsidRPr="00B420D1">
        <w:rPr>
          <w:sz w:val="20"/>
        </w:rPr>
        <w:fldChar w:fldCharType="end"/>
      </w:r>
      <w:r w:rsidRPr="00B420D1">
        <w:rPr>
          <w:sz w:val="20"/>
        </w:rPr>
        <w:t>. In Europe, 50% of the wetlands have been converted to urban and agricultural lands (</w:t>
      </w:r>
      <w:r w:rsidRPr="00B420D1">
        <w:rPr>
          <w:sz w:val="20"/>
        </w:rPr>
        <w:fldChar w:fldCharType="begin" w:fldLock="1"/>
      </w:r>
      <w:r w:rsidRPr="00B420D1">
        <w:rPr>
          <w:sz w:val="20"/>
        </w:rPr>
        <w:instrText>ADDIN CSL_CITATION { "citationItems" : [ { "id" : "ITEM-1", "itemData" : { "abstract" : "Floodplains in Europe are heavily impacted by human intervention and often disconnected from the main river channel. Restoring lateral hydraulic connectivity between wetlands, fringe habitats and riparian land with the adjacent river channel is extremely important to maintain natural functioning of floodplain wetlands. However, there is no simple solution to restoring and rehabilitating rivers and their floodplains, particularly in terms of long-term sustainability. Floodplains are often the most fertile and productive part of the landscape, in terms of both agricultural production and natural ecosystems. Restoration projects must be able to balance conflicting needs and interests. Flood management is one of the most powerful drivers of developing strategies for floodplain restoration. Appropriate restoration management of floodplains is vital for the conservation of unique bio-diverse systems and for sustainable agricultural productivity. By developing strategies that better incorporate floodplain restoration in the context of the basin scale, it will become more feasible to develop the most effective restoration actions for a specific river type and location. Within this context we must not forget that successful natural resource management is much more than developing good science; it requires working with landowners, meeting deadlines, securing funding, supervising staff, and cooperating with politicians. Furthermore, the benefits of floodplain restoration must be equally demonstrated for multiple purposes including a range of ecosystem services. This paper explores the various interactions associated with floodplain dynamics. Through case studies it explores the various approaches that have been taken across Europe to forward the restoration of these fragile and important ecosystems and embeds these in the context of current European environmental policy and directives.", "author" : [ { "dropping-particle" : "", "family" : "Gumiero", "given" : "Bruna", "non-dropping-particle" : "", "parse-names" : false, "suffix" : "" }, { "dropping-particle" : "", "family" : "Mant", "given" : "Jenny", "non-dropping-particle" : "", "parse-names" : false, "suffix" : "" }, { "dropping-particle" : "", "family" : "Hein", "given" : "Thomas", "non-dropping-particle" : "", "parse-names" : false, "suffix" : "" }, { "dropping-particle" : "", "family" : "Elso", "given" : "Josu", "non-dropping-particle" : "", "parse-names" : false, "suffix" : "" }, { "dropping-particle" : "", "family" : "Boz", "given" : "Bruno", "non-dropping-particle" : "", "parse-names" : false, "suffix" : "" } ], "container-title" : "Ecological Engineering", "id" : "ITEM-1", "issued" : { "date-parts" : [ [ "2013" ] ] }, "page" : "36-50", "title" : "Linking the restoration of rivers and riparian zones/wetlands in Europe: Sharing knowledge through case studies", "type" : "article-journal", "volume" : "56" }, "uris" : [ "http://www.mendeley.com/documents/?uuid=e229a5be-18ae-4c3b-a4f8-da2ce86617a8" ] } ], "mendeley" : { "formattedCitation" : "(Gumiero et al 2013)", "manualFormatting" : "Gumiero et al., 2013)", "plainTextFormattedCitation" : "(Gumiero et al 2013)", "previouslyFormattedCitation" : "(Gumiero et al 2013)" }, "properties" : { "noteIndex" : 0 }, "schema" : "https://github.com/citation-style-language/schema/raw/master/csl-citation.json" }</w:instrText>
      </w:r>
      <w:r w:rsidRPr="00B420D1">
        <w:rPr>
          <w:sz w:val="20"/>
        </w:rPr>
        <w:fldChar w:fldCharType="separate"/>
      </w:r>
      <w:r w:rsidRPr="00B420D1">
        <w:rPr>
          <w:noProof/>
          <w:sz w:val="20"/>
        </w:rPr>
        <w:t>Gumiero et al., 2013)</w:t>
      </w:r>
      <w:r w:rsidRPr="00B420D1">
        <w:rPr>
          <w:sz w:val="20"/>
        </w:rPr>
        <w:fldChar w:fldCharType="end"/>
      </w:r>
      <w:r w:rsidRPr="00B420D1">
        <w:rPr>
          <w:sz w:val="20"/>
        </w:rPr>
        <w:t xml:space="preserve">.  International agreements and EU legislation aim to prevent the further degradation of wetland ecosystems, e.g. the </w:t>
      </w:r>
      <w:proofErr w:type="spellStart"/>
      <w:r w:rsidRPr="00B420D1">
        <w:rPr>
          <w:sz w:val="20"/>
        </w:rPr>
        <w:t>Ramsar</w:t>
      </w:r>
      <w:proofErr w:type="spellEnd"/>
      <w:r w:rsidRPr="00B420D1">
        <w:rPr>
          <w:sz w:val="20"/>
        </w:rPr>
        <w:t xml:space="preserve"> convention, the EU Water Framework Directive and the Habitats Directive. Although such regulations have contributed towards conservation and restoration, wetland areas are still susceptible to drainage and reclamation, especially when major economic interests are at stake </w:t>
      </w:r>
      <w:r w:rsidRPr="00B420D1">
        <w:rPr>
          <w:sz w:val="20"/>
        </w:rPr>
        <w:fldChar w:fldCharType="begin" w:fldLock="1"/>
      </w:r>
      <w:r w:rsidRPr="00B420D1">
        <w:rPr>
          <w:sz w:val="20"/>
        </w:rPr>
        <w:instrText>ADDIN CSL_CITATION { "citationItems" : [ { "id" : "ITEM-1", "itemData" : { "abstract" : "Although 80% of their original area has been lost in the past millennium, Europe's wetlands still cover large areas in the northern part of the continent. Most original wetland types are still represented: bogs and fens are common in the boreal, atlantic and temperate parts of the continent. Riverine wetlands, although strongly reduced in size and functionality, still occur along Europe's streams and rivers. Freshwater tidal wetlands have become very rare in Europe's temperate zone. European wetlands are valued because of their biodiversity and their ecosystem services; their protection and restoration is supported by the Ramsar Convention, EU directives and national legislation for nature protection in the various states. These actions need to be intensified to stop any further degradation of the resource and its many services. The ecosystem services of wetlands should be taken into account in management decisions on land and water use. Multiple wetland restoration initiatives in river catchments and fen areas are good examples of the way forward.", "author" : [ { "dropping-particle" : "", "family" : "Verhoeven", "given" : "Jos T.A.", "non-dropping-particle" : "", "parse-names" : false, "suffix" : "" } ], "container-title" : "Ecological Engineering", "id" : "ITEM-1", "issued" : { "date-parts" : [ [ "2014" ] ] }, "page" : "6-9", "title" : "Wetlands in Europe: Perspectives for restoration of a lost paradise", "type" : "article-journal", "volume" : "6" }, "uris" : [ "http://www.mendeley.com/documents/?uuid=9d0479eb-5320-42b7-a2ec-63601b0f1921" ] }, { "id" : "ITEM-2", "itemData" : { "DOI" : "10.1007/s00027-011-0233-4", "ISBN" : "10.1007/s00027-011-0233-4", "ISSN" : "1015-1621", "author" : [ { "dropping-particle" : "", "family" : "\u010c\u00ed\u017ekov\u00e1", "given" : "Hana", "non-dropping-particle" : "", "parse-names" : false, "suffix" : "" }, { "dropping-particle" : "", "family" : "Kv\u011bt", "given" : "Jan", "non-dropping-particle" : "", "parse-names" : false, "suffix" : "" }, { "dropping-particle" : "", "family" : "Com\u00edn", "given" : "Francisco A.", "non-dropping-particle" : "", "parse-names" : false, "suffix" : "" }, { "dropping-particle" : "", "family" : "Laiho", "given" : "Raija", "non-dropping-particle" : "", "parse-names" : false, "suffix" : "" }, { "dropping-particle" : "", "family" : "Pokorn\u00fd", "given" : "Jan", "non-dropping-particle" : "", "parse-names" : false, "suffix" : "" }, { "dropping-particle" : "", "family" : "Pithart", "given" : "David", "non-dropping-particle" : "", "parse-names" : false, "suffix" : "" } ], "container-title" : "Aquatic Sciences", "id" : "ITEM-2", "issue" : "1", "issued" : { "date-parts" : [ [ "2011", "9", "16" ] ] }, "page" : "3-26", "title" : "Actual state of European wetlands and their possible future in the context of global climate change", "type" : "article-journal", "volume" : "75" }, "uris" : [ "http://www.mendeley.com/documents/?uuid=8a763fdf-2d45-461e-a122-9dd47460ac0f" ] } ], "mendeley" : { "formattedCitation" : "(\u010c\u00ed\u017ekov\u00e1 et al 2011; Verhoeven 2014)", "plainTextFormattedCitation" : "(\u010c\u00ed\u017ekov\u00e1 et al 2011; Verhoeven 2014)", "previouslyFormattedCitation" : "(\u010c\u00ed\u017ekov\u00e1 et al 2011; Verhoeven 2014)" }, "properties" : { "noteIndex" : 0 }, "schema" : "https://github.com/citation-style-language/schema/raw/master/csl-citation.json" }</w:instrText>
      </w:r>
      <w:r w:rsidRPr="00B420D1">
        <w:rPr>
          <w:sz w:val="20"/>
        </w:rPr>
        <w:fldChar w:fldCharType="separate"/>
      </w:r>
      <w:r w:rsidRPr="00B420D1">
        <w:rPr>
          <w:noProof/>
          <w:sz w:val="20"/>
        </w:rPr>
        <w:t>(Čížková et al 2011; Verhoeven 2014)</w:t>
      </w:r>
      <w:r w:rsidRPr="00B420D1">
        <w:rPr>
          <w:sz w:val="20"/>
        </w:rPr>
        <w:fldChar w:fldCharType="end"/>
      </w:r>
      <w:r w:rsidRPr="00B420D1">
        <w:rPr>
          <w:sz w:val="20"/>
        </w:rPr>
        <w:t>. Gathering public support for wetland restoration is essential to ensure social commitment towards sustainable use and management of restored wetlands.</w:t>
      </w:r>
    </w:p>
    <w:p w:rsidR="003F789A" w:rsidRPr="00B420D1" w:rsidRDefault="003F789A" w:rsidP="00B420D1">
      <w:pPr>
        <w:rPr>
          <w:sz w:val="20"/>
        </w:rPr>
      </w:pPr>
    </w:p>
    <w:p w:rsidR="003F789A" w:rsidRPr="00B420D1" w:rsidRDefault="003F789A" w:rsidP="00B420D1">
      <w:pPr>
        <w:rPr>
          <w:sz w:val="20"/>
        </w:rPr>
      </w:pPr>
      <w:r w:rsidRPr="00B420D1">
        <w:rPr>
          <w:sz w:val="20"/>
        </w:rPr>
        <w:t xml:space="preserve">A challenge for gathering public support for wetland restoration is that restoration may undermine local income, as a result of limited access to the natural resources, or conversion of farmland to natural land cover </w:t>
      </w:r>
      <w:r w:rsidRPr="00B420D1">
        <w:rPr>
          <w:sz w:val="20"/>
        </w:rPr>
        <w:fldChar w:fldCharType="begin" w:fldLock="1"/>
      </w:r>
      <w:r w:rsidRPr="00B420D1">
        <w:rPr>
          <w:sz w:val="20"/>
        </w:rPr>
        <w:instrText>ADDIN CSL_CITATION { "citationItems" : [ { "id" : "ITEM-1", "itemData" : { "DOI" : "10.1146/annurev.energy.30.050504.164507", "ISSN" : "1543-5938", "author" : [ { "dropping-particle" : "", "family" : "Naughton-Treves", "given" : "Lisa", "non-dropping-particle" : "", "parse-names" : false, "suffix" : "" }, { "dropping-particle" : "", "family" : "Holland", "given" : "Margaret Buck", "non-dropping-particle" : "", "parse-names" : false, "suffix" : "" }, { "dropping-particle" : "", "family" : "Brandon", "given" : "Katrina", "non-dropping-particle" : "", "parse-names" : false, "suffix" : "" } ], "container-title" : "Annual Review of Environment and Resources", "id" : "ITEM-1", "issue" : "1", "issued" : { "date-parts" : [ [ "2005", "11", "21" ] ] }, "page" : "219-252", "title" : "the Role of Protected Areas in Conserving Biodiversity and Sustaining Local Livelihoods", "type" : "article-journal", "volume" : "30" }, "uris" : [ "http://www.mendeley.com/documents/?uuid=d714f50b-6798-4ee3-b842-b916535ac629" ] } ], "mendeley" : { "formattedCitation" : "(Naughton-Treves et al 2005)", "manualFormatting" : "(Naughton-Treves et al., 2005)", "plainTextFormattedCitation" : "(Naughton-Treves et al 2005)", "previouslyFormattedCitation" : "(Naughton-Treves et al 2005)" }, "properties" : { "noteIndex" : 0 }, "schema" : "https://github.com/citation-style-language/schema/raw/master/csl-citation.json" }</w:instrText>
      </w:r>
      <w:r w:rsidRPr="00B420D1">
        <w:rPr>
          <w:sz w:val="20"/>
        </w:rPr>
        <w:fldChar w:fldCharType="separate"/>
      </w:r>
      <w:r w:rsidRPr="00B420D1">
        <w:rPr>
          <w:noProof/>
          <w:sz w:val="20"/>
        </w:rPr>
        <w:t>(Naughton-Treves et al., 2005)</w:t>
      </w:r>
      <w:r w:rsidRPr="00B420D1">
        <w:rPr>
          <w:sz w:val="20"/>
        </w:rPr>
        <w:fldChar w:fldCharType="end"/>
      </w:r>
      <w:r w:rsidRPr="00B420D1">
        <w:rPr>
          <w:sz w:val="20"/>
        </w:rPr>
        <w:t xml:space="preserve">. Ecological restoration initiatives often form part of an international framework that aims to achieve regional and/or global conservation targets (such as the Aichi Biodiversity Targets and EU biodiversity targets), and can be divorced from the needs of local people </w:t>
      </w:r>
      <w:r w:rsidRPr="00B420D1">
        <w:rPr>
          <w:sz w:val="20"/>
        </w:rPr>
        <w:fldChar w:fldCharType="begin" w:fldLock="1"/>
      </w:r>
      <w:r w:rsidRPr="00B420D1">
        <w:rPr>
          <w:sz w:val="20"/>
        </w:rPr>
        <w:instrText>ADDIN CSL_CITATION { "citationItems" : [ { "id" : "ITEM-1", "itemData" : { "DOI" : "10.1016/j.biocon.2009.11.011", "ISSN" : "00063207", "abstract" : "Designing conservation areas entails costs that, if considered explicitly, can be minimized while still achieving conservation targets. Here we focus on opportunity costs which measure forgone benefits from alternative land uses. Conservation planning studies often use partial estimates of costs, but the extent to which these result in actual efficiencies has not been demonstrated. Our study partitions land costs into three distinct opportunity costs to smallholder agriculture, soybean agriculture and ranching. We demonstrate that opportunity costs to single stakeholder groups can be inaccurate measures of true opportunity costs and can inadvertently shift conservation costs to affect groups of stakeholders disproportionately. Additionally, we examine how spatial correlations between costs as well as target size affect the performance of opportunity costs to single stakeholder groups as surrogate measures of true opportunity costs. We conclude that planning with opportunity costs to single stakeholder groups can result in cost burdens to other groups that could undermine the long-term success of conservation. Thus, an understanding of the spatial distributions of opportunity costs that are disaggregated to groups of stakeholders is necessary to make informed decisions about priority conservation areas.", "author" : [ { "dropping-particle" : "", "family" : "Adams", "given" : "Vanessa M.", "non-dropping-particle" : "", "parse-names" : false, "suffix" : "" }, { "dropping-particle" : "", "family" : "Pressey", "given" : "Robert L.", "non-dropping-particle" : "", "parse-names" : false, "suffix" : "" }, { "dropping-particle" : "", "family" : "Naidoo", "given" : "Robin", "non-dropping-particle" : "", "parse-names" : false, "suffix" : "" } ], "container-title" : "Biological Conservation", "id" : "ITEM-1", "issue" : "2", "issued" : { "date-parts" : [ [ "2010", "2" ] ] }, "page" : "439-448", "title" : "Opportunity costs: Who really pays for conservation?", "type" : "article-journal", "volume" : "143" }, "uris" : [ "http://www.mendeley.com/documents/?uuid=a2418475-2b14-4dfc-b998-c0a99a4a1d93" ] }, { "id" : "ITEM-2", "itemData" : { "DOI" : "http://dx.doi.org/10.1016/j.ecoser.2012.12.003", "ISSN" : "2212-0416", "abstract" : "Conservation can have both positive and negative effects on human well-being by causing changes in ecosystem service flows and reallocation of the distribution of benefits. This can lead to different, sometimes contradictory, outcomes of conservation. We studied local perceptions of ecosystem service flows in the Ranomafana National Park area of Madagascar to examine the local outcomes of conservation. The Ranomafana forest area provides a variety of benefits that contribute considerably to local inhabitants' livelihoods and well-being. Changes in ecosystem service flows alter the provision of many important ecosystem services at the local level, which is likely to affect local livelihoods negatively and increase local vulnerability and inequality. The findings indicate the presence of trade-offs between types of ecosystem services and between different societal goals, namely conservation and development. Benefit trade-offs also occur within and between beneficiary groups and across spatial and temporal scales. Although conservation might prove beneficial for local people in the long run, its immediate local costs are high. The findings reveal the importance of integrating local perceptions of ecosystem services into conservation planning. In addition, there is a need for further negotiations of the trade-offs between ecosystem services, conservation and development in Ranomafana.", "author" : [ { "dropping-particle" : "", "family" : "Kari", "given" : "Susanna", "non-dropping-particle" : "", "parse-names" : false, "suffix" : "" }, { "dropping-particle" : "", "family" : "Korhonen-Kurki", "given" : "Kaisa", "non-dropping-particle" : "", "parse-names" : false, "suffix" : "" } ], "container-title" : "Ecosystem Services", "id" : "ITEM-2", "issue" : "0", "issued" : { "date-parts" : [ [ "2013", "3" ] ] }, "page" : "e32-e39", "title" : "Framing local outcomes of biodiversity conservation through ecosystem services: A case study from Ranomafana, Madagascar", "type" : "article-journal", "volume" : "3" }, "uris" : [ "http://www.mendeley.com/documents/?uuid=281dee06-ca26-46a5-a01c-4c30feea7fdd" ] } ], "mendeley" : { "formattedCitation" : "(Adams et al 2010; Kari and Korhonen-Kurki 2013)", "manualFormatting" : "(Adams et al., 2010; Kari &amp; Korhonen-Kurki, 2013)", "plainTextFormattedCitation" : "(Adams et al 2010; Kari and Korhonen-Kurki 2013)", "previouslyFormattedCitation" : "(Adams et al 2010; Kari and Korhonen-Kurki 2013)" }, "properties" : { "noteIndex" : 0 }, "schema" : "https://github.com/citation-style-language/schema/raw/master/csl-citation.json" }</w:instrText>
      </w:r>
      <w:r w:rsidRPr="00B420D1">
        <w:rPr>
          <w:sz w:val="20"/>
        </w:rPr>
        <w:fldChar w:fldCharType="separate"/>
      </w:r>
      <w:r w:rsidRPr="00B420D1">
        <w:rPr>
          <w:noProof/>
          <w:sz w:val="20"/>
        </w:rPr>
        <w:t>(Adams et al., 2010; Kari &amp; Korhonen-Kurki, 2013)</w:t>
      </w:r>
      <w:r w:rsidRPr="00B420D1">
        <w:rPr>
          <w:sz w:val="20"/>
        </w:rPr>
        <w:fldChar w:fldCharType="end"/>
      </w:r>
      <w:r w:rsidRPr="00B420D1">
        <w:rPr>
          <w:sz w:val="20"/>
        </w:rPr>
        <w:t xml:space="preserve">.  In the conservation literature, this tension has been referred to as the ‘parks versus people’ debate, where the protection of global biodiversity through so-called fortress conservation is at one end of the spectrum and a focus on improving local livelihoods is at the other end </w:t>
      </w:r>
      <w:r w:rsidRPr="00B420D1">
        <w:rPr>
          <w:sz w:val="20"/>
        </w:rPr>
        <w:fldChar w:fldCharType="begin" w:fldLock="1"/>
      </w:r>
      <w:r w:rsidRPr="00B420D1">
        <w:rPr>
          <w:sz w:val="20"/>
        </w:rPr>
        <w:instrText>ADDIN CSL_CITATION { "citationItems" : [ { "id" : "ITEM-1", "itemData" : { "DOI" : "10.1016/j.biocon.2010.07.027", "ISSN" : "00063207", "abstract" : "The \u201cparks vs. people\u201d debate \u2013 i.e., the dispute over whether conservation projects and policies should prioritize biodiversity and landscape protection or poverty alleviation and human livelihood improvement \u2013 should be quite familiar to most conservation scientists and policy scholars today. Yet, it is clearly a more expansive debate than the argument over whether a particular conservation project should emphasize biodiversity protection or development: it is also a wider disagreement about the proper value and ethical foundations of biological conservation in the age of sustainability, as well as the wisdom and consequences of making complex trade-offs among rivalrous conservation goals in practice. This essay introduces a special section of Biological Conservation focused on this larger dispute, what we are calling the \u201cNew Conservation Debate\u201d to distinguish it from the historical debate in the US between \u201cwise use\u201d conservationists and preservationists at the turn of the 20th century. Articles in this special section explore the normative and ethical dimensions of the debate, as well as more pragmatic considerations relating to trade-off analysis and decision-making in real-world conservation plans and projects that impact both biodiversity and human well-being. Collectively, the papers in this section clarify many of the ethical and strategic divisions in the New Conservation Debate, while also revealing opportunities for reconciliation and principled compromise among advocates of strong nature protection and human welfare in the conservation community.", "author" : [ { "dropping-particle" : "", "family" : "Minteer", "given" : "Ben A.", "non-dropping-particle" : "", "parse-names" : false, "suffix" : "" }, { "dropping-particle" : "", "family" : "Miller", "given" : "Thaddeus R.", "non-dropping-particle" : "", "parse-names" : false, "suffix" : "" } ], "container-title" : "Biological Conservation", "id" : "ITEM-1", "issue" : "3", "issued" : { "date-parts" : [ [ "2011", "3" ] ] }, "page" : "945-947", "title" : "The New Conservation Debate: Ethical foundations, strategic trade-offs, and policy opportunities", "type" : "article-journal", "volume" : "144" }, "uris" : [ "http://www.mendeley.com/documents/?uuid=516081e6-6ad6-47d4-bdb5-e0f5634a8260" ] }, { "id" : "ITEM-2", "itemData" : { "DOI" : "10.1016/j.apgeog.2005.11.001", "ISSN" : "01436228", "author" : [ { "dropping-particle" : "", "family" : "Southworth", "given" : "J.", "non-dropping-particle" : "", "parse-names" : false, "suffix" : "" }, { "dropping-particle" : "", "family" : "Nagendra", "given" : "H.", "non-dropping-particle" : "", "parse-names" : false, "suffix" : "" }, { "dropping-particle" : "", "family" : "Munroe", "given" : "D.K.", "non-dropping-particle" : "", "parse-names" : false, "suffix" : "" } ], "container-title" : "Applied Geography", "id" : "ITEM-2", "issue" : "2", "issued" : { "date-parts" : [ [ "2006", "4" ] ] }, "page" : "87-95", "title" : "Introduction to the special issue: Are parks working? Exploring human\u2013environment tradeoffs in protected area conservation", "type" : "article-journal", "volume" : "26" }, "uris" : [ "http://www.mendeley.com/documents/?uuid=104ec507-bf11-45a5-aa84-7e424825ffd5" ] } ], "mendeley" : { "formattedCitation" : "(Southworth et al 2006; Minteer and Miller 2011)", "manualFormatting" : "(Southworth et al., 2006; Minteer &amp; Miller, 2011)", "plainTextFormattedCitation" : "(Southworth et al 2006; Minteer and Miller 2011)", "previouslyFormattedCitation" : "(Southworth et al 2006; Minteer and Miller 2011)" }, "properties" : { "noteIndex" : 0 }, "schema" : "https://github.com/citation-style-language/schema/raw/master/csl-citation.json" }</w:instrText>
      </w:r>
      <w:r w:rsidRPr="00B420D1">
        <w:rPr>
          <w:sz w:val="20"/>
        </w:rPr>
        <w:fldChar w:fldCharType="separate"/>
      </w:r>
      <w:r w:rsidRPr="00B420D1">
        <w:rPr>
          <w:noProof/>
          <w:sz w:val="20"/>
        </w:rPr>
        <w:t>(Southworth et al., 2006; Minteer &amp; Miller, 2011)</w:t>
      </w:r>
      <w:r w:rsidRPr="00B420D1">
        <w:rPr>
          <w:sz w:val="20"/>
        </w:rPr>
        <w:fldChar w:fldCharType="end"/>
      </w:r>
      <w:r w:rsidRPr="00B420D1">
        <w:rPr>
          <w:sz w:val="20"/>
        </w:rPr>
        <w:t xml:space="preserve">. Bringing these two groups together is often difficult, as ecological restoration often involves competing rather than complementary goals </w:t>
      </w:r>
      <w:r w:rsidRPr="00B420D1">
        <w:rPr>
          <w:sz w:val="20"/>
        </w:rPr>
        <w:fldChar w:fldCharType="begin" w:fldLock="1"/>
      </w:r>
      <w:r w:rsidRPr="00B420D1">
        <w:rPr>
          <w:sz w:val="20"/>
        </w:rPr>
        <w:instrText>ADDIN CSL_CITATION { "citationItems" : [ { "id" : "ITEM-1", "itemData" : { "DOI" : "10.1016/j.biocon.2010.04.038", "ISSN" : "00063207", "abstract" : "Win\u2013win solutions that both conserve biodiversity and promote human well-being are difficult to realize. Trade-offs and the hard choices they entail are the norm. Since 2008, the Advancing Conservation in a Social Context (ACSC) research initiative has been investigating the complex trade-offs that exist between human well-being and biodiversity conservation goals, and between conservation and other economic, political and social agendas across multiple scales. Resolving trade-offs is difficult because social problems \u2013 of which conservation is one \u2013 can be perceived and understood in a variety of disparate ways, influenced (in part at least) by how people are raised and educated, their life experiences, and the options they have faced. Pre-existing assumptions about the \u201cright\u201d approach to conservation often obscure important differences in both power and understanding, and can limit the success of policy and programmatic interventions. The new conservation debate challenges conservationists to be explicit about losses, costs, and hard choices so they can be openly discussed and honestly negotiated. Not to do so can lead to unrealized expectations, and ultimately to unresolved conflict. This paper explores the background and limitations of win\u2013win approaches to conservation and human well-being, discusses the prospect of approaching conservation challenges in terms of trade-offs and hard choices, and presents a set of guiding principles that can serve to orient strategic analysis and communication regarding trade-offs.", "author" : [ { "dropping-particle" : "", "family" : "McShane", "given" : "Thomas O.", "non-dropping-particle" : "", "parse-names" : false, "suffix" : "" }, { "dropping-particle" : "", "family" : "Hirsch", "given" : "Paul D.", "non-dropping-particle" : "", "parse-names" : false, "suffix" : "" }, { "dropping-particle" : "", "family" : "Trung", "given" : "Tran Chi", "non-dropping-particle" : "", "parse-names" : false, "suffix" : "" }, { "dropping-particle" : "", "family" : "Songorwa", "given" : "Alexander N.", "non-dropping-particle" : "", "parse-names" : false, "suffix" : "" }, { "dropping-particle" : "", "family" : "Kinzig", "given" : "Ann", "non-dropping-particle" : "", "parse-names" : false, "suffix" : "" }, { "dropping-particle" : "", "family" : "Monteferri", "given" : "Bruno", "non-dropping-particle" : "", "parse-names" : false, "suffix" : "" }, { "dropping-particle" : "", "family" : "Mutekanga", "given" : "David", "non-dropping-particle" : "", "parse-names" : false, "suffix" : "" }, { "dropping-particle" : "Van", "family" : "Thang", "given" : "Hoang", "non-dropping-particle" : "", "parse-names" : false, "suffix" : "" }, { "dropping-particle" : "", "family" : "Dammert", "given" : "Juan Luis", "non-dropping-particle" : "", "parse-names" : false, "suffix" : "" }, { "dropping-particle" : "", "family" : "Pulgar-Vidal", "given" : "Manuel", "non-dropping-particle" : "", "parse-names" : false, "suffix" : "" }, { "dropping-particle" : "", "family" : "Welch-Devine", "given" : "Meredith", "non-dropping-particle" : "", "parse-names" : false, "suffix" : "" }, { "dropping-particle" : "", "family" : "Peter Brosius", "given" : "J.", "non-dropping-particle" : "", "parse-names" : false, "suffix" : "" }, { "dropping-particle" : "", "family" : "Coppolillo", "given" : "Peter", "non-dropping-particle" : "", "parse-names" : false, "suffix" : "" }, { "dropping-particle" : "", "family" : "O\u2019Connor", "given" : "Sheila", "non-dropping-particle" : "", "parse-names" : false, "suffix" : "" } ], "container-title" : "Biological Conservation", "id" : "ITEM-1", "issue" : "3", "issued" : { "date-parts" : [ [ "2011", "3" ] ] }, "page" : "966-972", "title" : "Hard choices: Making trade-offs between biodiversity conservation and human well-being", "type" : "article-journal", "volume" : "144" }, "uris" : [ "http://www.mendeley.com/documents/?uuid=596e13da-91da-456f-8f0b-a87f89519c35" ] } ], "mendeley" : { "formattedCitation" : "(McShane et al 2011)", "plainTextFormattedCitation" : "(McShane et al 2011)", "previouslyFormattedCitation" : "(McShane et al 2011)" }, "properties" : { "noteIndex" : 0 }, "schema" : "https://github.com/citation-style-language/schema/raw/master/csl-citation.json" }</w:instrText>
      </w:r>
      <w:r w:rsidRPr="00B420D1">
        <w:rPr>
          <w:sz w:val="20"/>
        </w:rPr>
        <w:fldChar w:fldCharType="separate"/>
      </w:r>
      <w:r w:rsidRPr="00B420D1">
        <w:rPr>
          <w:noProof/>
          <w:sz w:val="20"/>
        </w:rPr>
        <w:t>(McShane et al 2011)</w:t>
      </w:r>
      <w:r w:rsidRPr="00B420D1">
        <w:rPr>
          <w:sz w:val="20"/>
        </w:rPr>
        <w:fldChar w:fldCharType="end"/>
      </w:r>
      <w:r w:rsidRPr="00B420D1">
        <w:rPr>
          <w:sz w:val="20"/>
        </w:rPr>
        <w:t xml:space="preserve">. To protect nature restoration and conservation areas from resource depletion or destruction, restrictions on natural resource use are necessary. Because of such restrictions, people have been displaced or denied access to the resources, threatening their rights and livelihoods </w:t>
      </w:r>
      <w:r w:rsidRPr="00B420D1">
        <w:rPr>
          <w:sz w:val="20"/>
        </w:rPr>
        <w:fldChar w:fldCharType="begin" w:fldLock="1"/>
      </w:r>
      <w:r w:rsidRPr="00B420D1">
        <w:rPr>
          <w:sz w:val="20"/>
        </w:rPr>
        <w:instrText>ADDIN CSL_CITATION { "citationItems" : [ { "id" : "ITEM-1", "itemData" : { "DOI" : "10.1098/rstb.2014.0271", "ISSN" : "1471-2970", "PMID" : "26460124", "abstract" : "Protected areas are controversial because they are so important for conservation and because they distribute fortune and misfortune unevenly. The nature of that distribution, as well as the terrain of protected areas themselves, have been vigorously contested. In particular, the relationship between protected areas and poverty is a long-running debate in academic and policy circles. We review the origins of this debate and chart its key moments. We then outline the continuing flashpoints and ways in which further evaluation studies could improve the evidence base for policy-making and conservation practice.", "author" : [ { "dropping-particle" : "", "family" : "Brockington", "given" : "Daniel", "non-dropping-particle" : "", "parse-names" : false, "suffix" : "" }, { "dropping-particle" : "", "family" : "Wilkie", "given" : "David", "non-dropping-particle" : "", "parse-names" : false, "suffix" : "" } ], "container-title" : "Philosophical transactions of the Royal Society of London. Series B, Biological sciences", "id" : "ITEM-1", "issue" : "1681", "issued" : { "date-parts" : [ [ "2015", "11", "5" ] ] }, "page" : "20140271-", "title" : "Protected areas and poverty.", "type" : "article-journal", "volume" : "370" }, "uris" : [ "http://www.mendeley.com/documents/?uuid=560736c8-c8d7-472e-a371-4ff8aa7bb2ee" ] } ], "mendeley" : { "formattedCitation" : "(Brockington and Wilkie 2015)", "plainTextFormattedCitation" : "(Brockington and Wilkie 2015)", "previouslyFormattedCitation" : "(Brockington and Wilkie 2015)" }, "properties" : { "noteIndex" : 0 }, "schema" : "https://github.com/citation-style-language/schema/raw/master/csl-citation.json" }</w:instrText>
      </w:r>
      <w:r w:rsidRPr="00B420D1">
        <w:rPr>
          <w:sz w:val="20"/>
        </w:rPr>
        <w:fldChar w:fldCharType="separate"/>
      </w:r>
      <w:r w:rsidRPr="00B420D1">
        <w:rPr>
          <w:noProof/>
          <w:sz w:val="20"/>
        </w:rPr>
        <w:t>(Brockington and Wilkie 2015)</w:t>
      </w:r>
      <w:r w:rsidRPr="00B420D1">
        <w:rPr>
          <w:sz w:val="20"/>
        </w:rPr>
        <w:fldChar w:fldCharType="end"/>
      </w:r>
      <w:r w:rsidRPr="00B420D1">
        <w:rPr>
          <w:sz w:val="20"/>
        </w:rPr>
        <w:t xml:space="preserve">. </w:t>
      </w:r>
    </w:p>
    <w:p w:rsidR="003F789A" w:rsidRPr="00B420D1" w:rsidRDefault="003F789A" w:rsidP="00B420D1">
      <w:pPr>
        <w:rPr>
          <w:sz w:val="20"/>
        </w:rPr>
      </w:pPr>
    </w:p>
    <w:p w:rsidR="003F789A" w:rsidRPr="00B420D1" w:rsidRDefault="003F789A" w:rsidP="00B420D1">
      <w:pPr>
        <w:rPr>
          <w:sz w:val="20"/>
        </w:rPr>
      </w:pPr>
      <w:r w:rsidRPr="00B420D1">
        <w:rPr>
          <w:sz w:val="20"/>
        </w:rPr>
        <w:t xml:space="preserve">An additional challenge for wetland restoration is that people commonly have negative associations with wetland ecosystems. Wetlands are perceived as useless,  difficult to access and unattractive </w:t>
      </w:r>
      <w:r w:rsidRPr="00B420D1">
        <w:rPr>
          <w:sz w:val="20"/>
        </w:rPr>
        <w:fldChar w:fldCharType="begin" w:fldLock="1"/>
      </w:r>
      <w:r w:rsidRPr="00B420D1">
        <w:rPr>
          <w:sz w:val="20"/>
        </w:rPr>
        <w:instrText>ADDIN CSL_CITATION { "citationItems" : [ { "id" : "ITEM-1", "itemData" : { "author" : [ { "dropping-particle" : "", "family" : "Meindl", "given" : "Christopher F.", "non-dropping-particle" : "", "parse-names" : false, "suffix" : "" } ], "container-title" : "Environmental History", "id" : "ITEM-1", "issue" : "3", "issued" : { "date-parts" : [ [ "2000" ] ] }, "page" : "378-395", "title" : "Past Perception of the Great American Wetland: Florida's Everglades during the Early Twentieth Century", "type" : "article-journal", "volume" : "5" }, "uris" : [ "http://www.mendeley.com/documents/?uuid=7f3a86fe-7722-4e2d-9b57-f7ebabc310aa" ] }, { "id" : "ITEM-2", "itemData" : { "DOI" : "10.1672/0277-5212(2004)024[0756:MTSOMW]2.0.CO;2", "ISSN" : "0277-5212", "author" : [ { "dropping-particle" : "", "family" : "Nassauer", "given" : "Joan Iverson", "non-dropping-particle" : "", "parse-names" : false, "suffix" : "" } ], "container-title" : "Wetlands", "id" : "ITEM-2", "issue" : "4", "issued" : { "date-parts" : [ [ "2004", "12" ] ] }, "page" : "756-765", "title" : "Monitoring the success of metropolitan wetland restorations: Cultural sustainability and ecological function", "type" : "article-journal", "volume" : "24" }, "uris" : [ "http://www.mendeley.com/documents/?uuid=2f244abc-6898-443e-a9bb-e514f196963f" ] } ], "mendeley" : { "formattedCitation" : "(Meindl 2000; Nassauer 2004)", "plainTextFormattedCitation" : "(Meindl 2000; Nassauer 2004)", "previouslyFormattedCitation" : "(Meindl 2000; Nassauer 2004)" }, "properties" : { "noteIndex" : 0 }, "schema" : "https://github.com/citation-style-language/schema/raw/master/csl-citation.json" }</w:instrText>
      </w:r>
      <w:r w:rsidRPr="00B420D1">
        <w:rPr>
          <w:sz w:val="20"/>
        </w:rPr>
        <w:fldChar w:fldCharType="separate"/>
      </w:r>
      <w:r w:rsidRPr="00B420D1">
        <w:rPr>
          <w:noProof/>
          <w:sz w:val="20"/>
        </w:rPr>
        <w:t>(Meindl 2000; Nassauer 2004)</w:t>
      </w:r>
      <w:r w:rsidRPr="00B420D1">
        <w:rPr>
          <w:sz w:val="20"/>
        </w:rPr>
        <w:fldChar w:fldCharType="end"/>
      </w:r>
      <w:r w:rsidRPr="00B420D1">
        <w:rPr>
          <w:sz w:val="20"/>
        </w:rPr>
        <w:t xml:space="preserve">.Although the importance of public engagement for ecological restoration has long been recognized, the communication of restoration benefits to the wider public </w:t>
      </w:r>
      <w:r w:rsidRPr="00B420D1">
        <w:rPr>
          <w:sz w:val="20"/>
        </w:rPr>
        <w:lastRenderedPageBreak/>
        <w:t xml:space="preserve">has had limited success </w:t>
      </w:r>
      <w:r w:rsidRPr="00B420D1">
        <w:rPr>
          <w:sz w:val="20"/>
        </w:rPr>
        <w:fldChar w:fldCharType="begin" w:fldLock="1"/>
      </w:r>
      <w:r w:rsidRPr="00B420D1">
        <w:rPr>
          <w:sz w:val="20"/>
        </w:rPr>
        <w:instrText>ADDIN CSL_CITATION { "citationItems" : [ { "id" : "ITEM-1", "itemData" : { "DOI" : "10.1890/090160", "ISSN" : "1540-9295", "abstract" : "The exchange of information between researchers, resource managers, decision makers, and the general public has long been recognized as a critical need in environmental science. We examine the challenges in using ecological knowledge to inform society and to change societal actions, and identify a set of options and strategies to enhance this exchange. Our objectives are to provide background information on societal knowledge and interest in science and environmental issues, to describe how different components of society obtain information and develop their interests and values, and to present a framework for evaluating and improving communication between science and society. Our analysis strongly suggests that the interface between science and society can only be improved with renewed dedication to public outreach and a wholesale reconsideration of the way that scientists communicate with society. Ecologists need to adopt new models of engagement with their audiences, frame their results in ways that ar...", "author" : [ { "dropping-particle" : "", "family" : "Groffman", "given" : "Peter M", "non-dropping-particle" : "", "parse-names" : false, "suffix" : "" }, { "dropping-particle" : "", "family" : "Stylinski", "given" : "Cathlyn", "non-dropping-particle" : "", "parse-names" : false, "suffix" : "" }, { "dropping-particle" : "", "family" : "Nisbet", "given" : "Matthew C", "non-dropping-particle" : "", "parse-names" : false, "suffix" : "" }, { "dropping-particle" : "", "family" : "Duarte", "given" : "Carlos M", "non-dropping-particle" : "", "parse-names" : false, "suffix" : "" }, { "dropping-particle" : "", "family" : "Jordan", "given" : "Rebecca", "non-dropping-particle" : "", "parse-names" : false, "suffix" : "" }, { "dropping-particle" : "", "family" : "Burgin", "given" : "Amy", "non-dropping-particle" : "", "parse-names" : false, "suffix" : "" }, { "dropping-particle" : "", "family" : "Previtali", "given" : "M Andrea", "non-dropping-particle" : "", "parse-names" : false, "suffix" : "" }, { "dropping-particle" : "", "family" : "Coloso", "given" : "James", "non-dropping-particle" : "", "parse-names" : false, "suffix" : "" } ], "container-title" : "Frontiers in Ecology and the Environment", "id" : "ITEM-1", "issue" : "6", "issued" : { "date-parts" : [ [ "2010", "8", "1" ] ] }, "language" : "EN", "page" : "284-291", "publisher" : "Ecological Society of America", "title" : "Restarting the conversation: challenges at the interface between ecology and society", "type" : "article-journal", "volume" : "8" }, "uris" : [ "http://www.mendeley.com/documents/?uuid=6fd710dd-889a-410f-9902-a757b32ac755" ] } ], "mendeley" : { "formattedCitation" : "(Groffman et al 2010)", "plainTextFormattedCitation" : "(Groffman et al 2010)", "previouslyFormattedCitation" : "(Groffman et al 2010)" }, "properties" : { "noteIndex" : 0 }, "schema" : "https://github.com/citation-style-language/schema/raw/master/csl-citation.json" }</w:instrText>
      </w:r>
      <w:r w:rsidRPr="00B420D1">
        <w:rPr>
          <w:sz w:val="20"/>
        </w:rPr>
        <w:fldChar w:fldCharType="separate"/>
      </w:r>
      <w:r w:rsidRPr="00B420D1">
        <w:rPr>
          <w:noProof/>
          <w:sz w:val="20"/>
        </w:rPr>
        <w:t>(Groffman et al 2010)</w:t>
      </w:r>
      <w:r w:rsidRPr="00B420D1">
        <w:rPr>
          <w:sz w:val="20"/>
        </w:rPr>
        <w:fldChar w:fldCharType="end"/>
      </w:r>
      <w:r w:rsidRPr="00B420D1">
        <w:rPr>
          <w:sz w:val="20"/>
        </w:rPr>
        <w:t>. To tackle this issue, an ES approach is increasingly being advocated. The ES framework aims to inform the public about the benefits humans receive from nature, by portraying explicit links between a wide range of (wetland) ecosystem functions and human well-being (</w:t>
      </w:r>
      <w:r w:rsidRPr="00B420D1">
        <w:rPr>
          <w:sz w:val="20"/>
        </w:rPr>
        <w:fldChar w:fldCharType="begin" w:fldLock="1"/>
      </w:r>
      <w:r w:rsidRPr="00B420D1">
        <w:rPr>
          <w:sz w:val="20"/>
        </w:rPr>
        <w:instrText>ADDIN CSL_CITATION { "citationItems" : [ { "id" : "ITEM-1", "itemData" : { "DOI" : "10.1016/S0921-8009(02)00089-7", "ISBN" : "3143388269", "ISSN" : "09218009", "author" : [ { "dropping-particle" : "", "family" : "Groot", "given" : "Rudolf S", "non-dropping-particle" : "de", "parse-names" : false, "suffix" : "" }, { "dropping-particle" : "", "family" : "Wilson", "given" : "Matthew a", "non-dropping-particle" : "", "parse-names" : false, "suffix" : "" }, { "dropping-particle" : "", "family" : "Boumans", "given" : "Roelof M.J", "non-dropping-particle" : "", "parse-names" : false, "suffix" : "" } ], "container-title" : "Ecological Economics", "id" : "ITEM-1", "issue" : "3", "issued" : { "date-parts" : [ [ "2002", "6" ] ] }, "note" : "        From Duplicate 1 (                           A typology for the classification, description and valuation of ecosystem functions, goods and services                         - de Groot, Rudolf S; Wilson, Matthew a; Boumans, Roelof M.J )\n                \n        From Duplicate 1 (                           A typology for the classification, description and valuation of ecosystem functions, goods and services                         - de Groot, Rudolf S; Wilson, Matthew a; Boumans, Roelof M.J )\n                \n        From Duplicate 1 (                           A typology for the classification, description and valuation of ecosystem functions, goods and services                         - de Groot, Rudolf S; Wilson, Matthew a; Boumans, Roelof M.J )\n                \n        \n        \n        \n        \n        From Duplicate 2 (                           A typology for the classification, description and valuation of ecosystem functions, goods and services                         - de Groot, Rudolf S; Wilson, Matthew a; Boumans, Roelof M.J )\n                \n        \n        \n        \n        \n      ", "page" : "393-408", "title" : "A typology for the classification, description and valuation of ecosystem functions, goods and services", "type" : "article-journal", "volume" : "41" }, "uris" : [ "http://www.mendeley.com/documents/?uuid=6a89104d-2fd3-4cf6-a969-9b00dda66c02" ] }, { "id" : "ITEM-2", "itemData" : { "ISBN" : "1559634766", "abstract" : "Life itself as well as the entire human economy depends on goods and services provided by earth's natural systems. The processes of cleansing, recycling, and renewal, along with goods such as seafood, forage, and timber, are worth many trillions of dollars annually, and nothing could live without them. Yet growing human impacts on the environment are profoundly disrupting the functioning of natural systems and imperiling the delivery of these services.Nature's Services brings together world-renowned scientists from a variety of disciplines to examine the character and value of ecosystem services, the damage that has been done to them, and the consequent implications for human society. Contributors including Paul R. Ehrlich, Donald Kennedy, Pamela A. Matson, Robert Costanza, Gary Paul Nabhan, Jane Lubchenco, Sandra Postel, and Norman Myers present a detailed synthesis of our current understanding of a suite of ecosystem services and a preliminary assessment of their economic value. Chapters consider: major services including climate regulation, soil fertility, pollination, and pest control philosophical and economic issues of valuation case studies of specific ecosystems and services implication of recent findings and steps that must be taken to address the most pressing concerns Nature's Services represents one of the first efforts by scientists to provide an overview of the many benefits and services that nature offers to people and the extent to which we are all vitally dependent on those services. The book enhances our understanding of the value of the natural systems that surround us and can play an essential role in encouraging greater efforts to protect the earth's basic life-support systems before it is too late.", "author" : [ { "dropping-particle" : "", "family" : "Daily", "given" : "Gretchen C.", "non-dropping-particle" : "", "parse-names" : false, "suffix" : "" } ], "id" : "ITEM-2", "issued" : { "date-parts" : [ [ "1997" ] ] }, "publisher" : "Island Press Washington, DC", "publisher-place" : "Washington DC", "title" : "Nature's Services: Societal Dependence On Natural Ecosystems", "type" : "book" }, "uris" : [ "http://www.mendeley.com/documents/?uuid=c08d682f-b1f8-4f52-afda-11c7bf7958f6" ] }, { "id" : "ITEM-3", "itemData" : { "DOI" : "10.1038/387253a0", "ISSN" : "0028-0836", "author" : [ { "dropping-particle" : "", "family" : "Costanza", "given" : "Robert", "non-dropping-particle" : "", "parse-names" : false, "suffix" : "" }, { "dropping-particle" : "", "family" : "d'Arge", "given" : "Ralph", "non-dropping-particle" : "", "parse-names" : false, "suffix" : "" }, { "dropping-particle" : "", "family" : "Groot", "given" : "Rudolf", "non-dropping-particle" : "de", "parse-names" : false, "suffix" : "" }, { "dropping-particle" : "", "family" : "Farber", "given" : "Stephen", "non-dropping-particle" : "", "parse-names" : false, "suffix" : "" }, { "dropping-particle" : "", "family" : "Grasso", "given" : "Monica", "non-dropping-particle" : "", "parse-names" : false, "suffix" : "" }, { "dropping-particle" : "", "family" : "Hannon", "given" : "Bruce", "non-dropping-particle" : "", "parse-names" : false, "suffix" : "" }, { "dropping-particle" : "", "family" : "Limburg", "given" : "Karin", "non-dropping-particle" : "", "parse-names" : false, "suffix" : "" }, { "dropping-particle" : "", "family" : "Naeem", "given" : "Shahid", "non-dropping-particle" : "", "parse-names" : false, "suffix" : "" }, { "dropping-particle" : "V.", "family" : "O'Neill", "given" : "Robert", "non-dropping-particle" : "", "parse-names" : false, "suffix" : "" }, { "dropping-particle" : "", "family" : "Paruelo", "given" : "Jose", "non-dropping-particle" : "", "parse-names" : false, "suffix" : "" }, { "dropping-particle" : "", "family" : "Raskin", "given" : "Robert G.", "non-dropping-particle" : "", "parse-names" : false, "suffix" : "" }, { "dropping-particle" : "", "family" : "Sutton", "given" : "Paul", "non-dropping-particle" : "", "parse-names" : false, "suffix" : "" }, { "dropping-particle" : "", "family" : "Belt", "given" : "Marjan", "non-dropping-particle" : "van den", "parse-names" : false, "suffix" : "" } ], "container-title" : "Nature", "id" : "ITEM-3", "issue" : "6630", "issued" : { "date-parts" : [ [ "1997", "5", "15" ] ] }, "note" : "        From Duplicate 1 (                   The value of the world's ecosystem services and natural capital                 - Costanza, Robert; d'Arge, Ralph; de Groot, Rudolf; Farber, Stephen; Grasso, Monica; Hannon, Bruce; Limburg, Karin; Naeem, Shahid; O'Neill, Robert V.; Paruelo, Jose; Raskin, Robert G.; Sutton, Paul; van den Belt, Marjan )\n                \n        \n        \n        From Duplicate 2 (                   The value of the world's ecosystem services and natural capital                 - Costanza, Robert; d'Arge, Ralph; de Groot, Rudolf; Farber, Stephen; Grasso, Monica; Hannon, Bruce; Limburg, Karin; Naeem, Shahid; O'Neill, Robert V.; Paruelo, Jose; Raskin, Robert G.; Sutton, Paul; van den Belt, Marjan )\n                \nnP, scanned\n        \n      ", "page" : "253-260", "publisher" : "Nature Publishing Group", "title" : "The value of the world's ecosystem services and natural capital", "title-short" : "Nature", "type" : "article-journal", "volume" : "387" }, "uris" : [ "http://www.mendeley.com/documents/?uuid=24433b66-60ae-4a21-8271-5149d74c0421" ] } ], "mendeley" : { "formattedCitation" : "(Daily 1997; Costanza et al 1997; de Groot et al 2002)", "manualFormatting" : "Costanza et al., 1997; Daily, 1997; de Groot et al., 2002)", "plainTextFormattedCitation" : "(Daily 1997; Costanza et al 1997; de Groot et al 2002)", "previouslyFormattedCitation" : "(Daily 1997; Costanza et al 1997; de Groot et al 2002)" }, "properties" : { "noteIndex" : 0 }, "schema" : "https://github.com/citation-style-language/schema/raw/master/csl-citation.json" }</w:instrText>
      </w:r>
      <w:r w:rsidRPr="00B420D1">
        <w:rPr>
          <w:sz w:val="20"/>
        </w:rPr>
        <w:fldChar w:fldCharType="separate"/>
      </w:r>
      <w:r w:rsidRPr="00B420D1">
        <w:rPr>
          <w:noProof/>
          <w:sz w:val="20"/>
        </w:rPr>
        <w:t>Costanza et al., 1997; Daily, 1997; de Groot et al., 2002)</w:t>
      </w:r>
      <w:r w:rsidRPr="00B420D1">
        <w:rPr>
          <w:sz w:val="20"/>
        </w:rPr>
        <w:fldChar w:fldCharType="end"/>
      </w:r>
      <w:r w:rsidRPr="00B420D1">
        <w:rPr>
          <w:sz w:val="20"/>
        </w:rPr>
        <w:t xml:space="preserve">. </w:t>
      </w:r>
    </w:p>
    <w:p w:rsidR="003F789A" w:rsidRPr="00B420D1" w:rsidRDefault="003F789A" w:rsidP="00B420D1">
      <w:pPr>
        <w:rPr>
          <w:sz w:val="20"/>
        </w:rPr>
      </w:pPr>
    </w:p>
    <w:p w:rsidR="003F789A" w:rsidRPr="00B420D1" w:rsidRDefault="003F789A" w:rsidP="00B420D1">
      <w:pPr>
        <w:rPr>
          <w:sz w:val="20"/>
        </w:rPr>
      </w:pPr>
      <w:r w:rsidRPr="00B420D1">
        <w:rPr>
          <w:sz w:val="20"/>
        </w:rPr>
        <w:t xml:space="preserve">The dominant narrative of the ES framework (as shown in the ES cascade depicted in Fig. 1) has focused on the supply of ESs </w:t>
      </w:r>
      <w:r w:rsidRPr="00B420D1">
        <w:rPr>
          <w:sz w:val="20"/>
        </w:rPr>
        <w:fldChar w:fldCharType="begin" w:fldLock="1"/>
      </w:r>
      <w:r w:rsidRPr="00B420D1">
        <w:rPr>
          <w:sz w:val="20"/>
        </w:rPr>
        <w:instrText>ADDIN CSL_CITATION { "citationItems" : [ { "id" : "ITEM-1", "itemData" : { "DOI" : "10.1525/bio.2013.63.7.7", "ISSN" : "00063568", "author" : [ { "dropping-particle" : "", "family" : "Raymond", "given" : "Christopher M", "non-dropping-particle" : "", "parse-names" : false, "suffix" : "" }, { "dropping-particle" : "", "family" : "Singh", "given" : "Gerald", "non-dropping-particle" : "", "parse-names" : false, "suffix" : "" }, { "dropping-particle" : "", "family" : "Benessaiah", "given" : "Karina", "non-dropping-particle" : "", "parse-names" : false, "suffix" : "" }, { "dropping-particle" : "", "family" : "Bernhardt", "given" : "Joanna R", "non-dropping-particle" : "", "parse-names" : false, "suffix" : "" }, { "dropping-particle" : "", "family" : "Levine", "given" : "Jordan", "non-dropping-particle" : "", "parse-names" : false, "suffix" : "" }, { "dropping-particle" : "", "family" : "Nelson", "given" : "Harry", "non-dropping-particle" : "", "parse-names" : false, "suffix" : "" }, { "dropping-particle" : "", "family" : "Turner", "given" : "Nancy J", "non-dropping-particle" : "", "parse-names" : false, "suffix" : "" }, { "dropping-particle" : "", "family" : "Norton", "given" : "Bryan", "non-dropping-particle" : "", "parse-names" : false, "suffix" : "" }, { "dropping-particle" : "", "family" : "Tam", "given" : "Jordan", "non-dropping-particle" : "", "parse-names" : false, "suffix" : "" }, { "dropping-particle" : "", "family" : "Chan", "given" : "Kai M A", "non-dropping-particle" : "", "parse-names" : false, "suffix" : "" } ], "container-title" : "BioScience", "id" : "ITEM-1", "issue" : "7", "issued" : { "date-parts" : [ [ "2013", "7" ] ] }, "page" : "536-546", "title" : "Ecosystem Services and Beyond", "type" : "article-journal", "volume" : "63" }, "uris" : [ "http://www.mendeley.com/documents/?uuid=1e6ab63c-3cc2-4c47-a827-618e44a60546" ] }, { "id" : "ITEM-2", "itemData" : { "DOI" : "10.1016/j.gloenvcha.2015.07.007", "ISSN" : "09593780", "abstract" : "The concept of Ecosystem Services (ES), widely understood as the \u201cbenefits that humans receive from the natural functioning of healthy ecosystems\u201d (Jeffers et al., 2015), depicts a one-way flow of services from ecosystems to people. We argue that this conceptualisation is overly simplistic and largely inaccurate, neglecting the reality that humans often contribute to the maintenance and enhancement of ecosystems, as often evidenced (but not exclusively) in many traditional and Indigenous societies. Management interventions arising from Ecosystem Services research are thus potentially damaging to both ecosystems and indigenous rights. We present the concept of \u2018Services to Ecosystems\u2019 (S2E) to address this, closing the loop of the reciprocal relationship between humans and ecosystems. Case studies from the biocultural ecosystems of Amazonia and the Pacific Northwest of North America (Cascadia) are used to illustrate the concept and provide examples of Services to Ecosystems in past and current societies. Finally, an alternative framework is presented, advancing the existing framework for Ecosystem Services by incorporating this reconceptualization and the loop of reciprocity. The framework aims to facilitate the inclusion of Services to Ecosystems in management strategies based upon Ecosystem Services, and highlights the need for ethnographic research in Ecosystem Service-based interventions.", "author" : [ { "dropping-particle" : "", "family" : "Comberti", "given" : "C.", "non-dropping-particle" : "", "parse-names" : false, "suffix" : "" }, { "dropping-particle" : "", "family" : "Thornton", "given" : "T.F.", "non-dropping-particle" : "", "parse-names" : false, "suffix" : "" }, { "dropping-particle" : "", "family" : "Wylliede Echeverria", "given" : "V.", "non-dropping-particle" : "", "parse-names" : false, "suffix" : "" }, { "dropping-particle" : "", "family" : "Patterson", "given" : "T.", "non-dropping-particle" : "", "parse-names" : false, "suffix" : "" } ], "container-title" : "Global Environmental Change", "id" : "ITEM-2", "issued" : { "date-parts" : [ [ "2015", "9" ] ] }, "page" : "247-262", "title" : "Ecosystem services or services to ecosystems? Valuing cultivation and reciprocal relationships between humans and ecosystems", "type" : "article-journal", "volume" : "34" }, "uris" : [ "http://www.mendeley.com/documents/?uuid=62ea72e3-0212-496a-889b-0d402959f511" ] } ], "mendeley" : { "formattedCitation" : "(Raymond et al 2013; Comberti et al 2015)", "plainTextFormattedCitation" : "(Raymond et al 2013; Comberti et al 2015)", "previouslyFormattedCitation" : "(Raymond et al 2013; Comberti et al 2015)" }, "properties" : { "noteIndex" : 0 }, "schema" : "https://github.com/citation-style-language/schema/raw/master/csl-citation.json" }</w:instrText>
      </w:r>
      <w:r w:rsidRPr="00B420D1">
        <w:rPr>
          <w:sz w:val="20"/>
        </w:rPr>
        <w:fldChar w:fldCharType="separate"/>
      </w:r>
      <w:r w:rsidRPr="00B420D1">
        <w:rPr>
          <w:noProof/>
          <w:sz w:val="20"/>
        </w:rPr>
        <w:t>(Raymond et al 2013; Comberti et al 2015)</w:t>
      </w:r>
      <w:r w:rsidRPr="00B420D1">
        <w:rPr>
          <w:sz w:val="20"/>
        </w:rPr>
        <w:fldChar w:fldCharType="end"/>
      </w:r>
      <w:r w:rsidRPr="00B420D1">
        <w:rPr>
          <w:sz w:val="20"/>
        </w:rPr>
        <w:t xml:space="preserve">, portraying how ecosystems, through different ecological functions, provide services and goods that people value </w:t>
      </w:r>
      <w:r w:rsidRPr="00B420D1">
        <w:rPr>
          <w:sz w:val="20"/>
        </w:rPr>
        <w:fldChar w:fldCharType="begin" w:fldLock="1"/>
      </w:r>
      <w:r w:rsidRPr="00B420D1">
        <w:rPr>
          <w:sz w:val="20"/>
        </w:rPr>
        <w:instrText>ADDIN CSL_CITATION { "citationItems" : [ { "id" : "ITEM-1", "itemData" : { "author" : [ { "dropping-particle" : "", "family" : "Groot", "given" : "Rudolf", "non-dropping-particle" : "de", "parse-names" : false, "suffix" : "" }, { "dropping-particle" : "", "family" : "Fisher", "given" : "Brendan", "non-dropping-particle" : "", "parse-names" : false, "suffix" : "" }, { "dropping-particle" : "", "family" : "Christie", "given" : "Mike", "non-dropping-particle" : "", "parse-names" : false, "suffix" : "" }, { "dropping-particle" : "", "family" : "Aronson", "given" : "James", "non-dropping-particle" : "", "parse-names" : false, "suffix" : "" }, { "dropping-particle" : "", "family" : "Braat", "given" : "Leon", "non-dropping-particle" : "", "parse-names" : false, "suffix" : "" }, { "dropping-particle" : "", "family" : "Gowdy", "given" : "John", "non-dropping-particle" : "", "parse-names" : false, "suffix" : "" }, { "dropping-particle" : "", "family" : "Haines-young", "given" : "Roy", "non-dropping-particle" : "", "parse-names" : false, "suffix" : "" }, { "dropping-particle" : "", "family" : "Maltby", "given" : "Edward", "non-dropping-particle" : "", "parse-names" : false, "suffix" : "" }, { "dropping-particle" : "", "family" : "Neuville", "given" : "Aude", "non-dropping-particle" : "", "parse-names" : false, "suffix" : "" }, { "dropping-particle" : "", "family" : "Polasky", "given" : "Stephen", "non-dropping-particle" : "", "parse-names" : false, "suffix" : "" }, { "dropping-particle" : "", "family" : "Portela", "given" : "Rosimeiry", "non-dropping-particle" : "", "parse-names" : false, "suffix" : "" }, { "dropping-particle" : "", "family" : "Ring", "given" : "Irene", "non-dropping-particle" : "", "parse-names" : false, "suffix" : "" }, { "dropping-particle" : "", "family" : "Blignaut", "given" : "James", "non-dropping-particle" : "", "parse-names" : false, "suffix" : "" }, { "dropping-particle" : "", "family" : "Brond\u00edzio", "given" : "Eduardo", "non-dropping-particle" : "", "parse-names" : false, "suffix" : "" }, { "dropping-particle" : "", "family" : "Costanza", "given" : "Robert", "non-dropping-particle" : "", "parse-names" : false, "suffix" : "" }, { "dropping-particle" : "", "family" : "Jax", "given" : "Kurt", "non-dropping-particle" : "", "parse-names" : false, "suffix" : "" }, { "dropping-particle" : "", "family" : "Kadekodi", "given" : "Gopal K", "non-dropping-particle" : "", "parse-names" : false, "suffix" : "" }, { "dropping-particle" : "", "family" : "May", "given" : "Peter H", "non-dropping-particle" : "", "parse-names" : false, "suffix" : "" }, { "dropping-particle" : "", "family" : "Mcneely", "given" : "Jeffrey", "non-dropping-particle" : "", "parse-names" : false, "suffix" : "" }, { "dropping-particle" : "", "family" : "Shmelev", "given" : "Stanislav", "non-dropping-particle" : "", "parse-names" : false, "suffix" : "" } ], "chapter-number" : "Chapter 1", "container-title" : "The Economics of Ecosystems and Biodiversity: Ecological and Economic Foundations", "editor" : [ { "dropping-particle" : "", "family" : "Kumar", "given" : "Pushpam", "non-dropping-particle" : "", "parse-names" : false, "suffix" : "" } ], "id" : "ITEM-1", "issue" : "March", "issued" : { "date-parts" : [ [ "2010" ] ] }, "publisher" : "Earthscan", "publisher-place" : "London", "title" : "Integrating the ecological and economic dimensions in biodiversity and ecosystem service valuation", "type" : "chapter" }, "uris" : [ "http://www.mendeley.com/documents/?uuid=958b7549-64a1-4c84-9687-734bc465028f" ] }, { "id" : "ITEM-2", "itemData" : { "author" : [ { "dropping-particle" : "", "family" : "Haines-Young", "given" : "R. H.", "non-dropping-particle" : "", "parse-names" : false, "suffix" : "" }, { "dropping-particle" : "", "family" : "Potschin", "given" : "M. B.", "non-dropping-particle" : "", "parse-names" : false, "suffix" : "" } ], "container-title" : "Ecosystem Ecology: a new synthesis", "id" : "ITEM-2", "issued" : { "date-parts" : [ [ "2010" ] ] }, "note" : "&lt;m:note&gt;scanned&lt;/m:note&gt;", "title" : "The links between biodiversity , ecosystem services and human well-being", "type" : "chapter" }, "uris" : [ "http://www.mendeley.com/documents/?uuid=6b75e725-bf77-4a41-b66c-aa4616b3fe2f" ] } ], "mendeley" : { "formattedCitation" : "(de Groot et al 2010; Haines-Young and Potschin 2010)", "plainTextFormattedCitation" : "(de Groot et al 2010; Haines-Young and Potschin 2010)", "previouslyFormattedCitation" : "(de Groot et al 2010; Haines-Young and Potschin 2010)" }, "properties" : { "noteIndex" : 0 }, "schema" : "https://github.com/citation-style-language/schema/raw/master/csl-citation.json" }</w:instrText>
      </w:r>
      <w:r w:rsidRPr="00B420D1">
        <w:rPr>
          <w:sz w:val="20"/>
        </w:rPr>
        <w:fldChar w:fldCharType="separate"/>
      </w:r>
      <w:r w:rsidRPr="00B420D1">
        <w:rPr>
          <w:noProof/>
          <w:sz w:val="20"/>
        </w:rPr>
        <w:t>(de Groot et al 2010; Haines-Young and Potschin 2010)</w:t>
      </w:r>
      <w:r w:rsidRPr="00B420D1">
        <w:rPr>
          <w:sz w:val="20"/>
        </w:rPr>
        <w:fldChar w:fldCharType="end"/>
      </w:r>
      <w:r w:rsidRPr="00B420D1">
        <w:rPr>
          <w:sz w:val="20"/>
        </w:rPr>
        <w:t xml:space="preserve">. As such, the ES framework has commonly been used as an awareness raising tool, with the underlying assumption that once people become aware of ESs, they will be more willing to support nature conservation. The importance people assign to ecosystems and their related goods and services, however, is not only influenced by knowledge, but also depends on how people interact with ecosystems </w:t>
      </w:r>
      <w:r w:rsidRPr="00B420D1">
        <w:rPr>
          <w:sz w:val="20"/>
        </w:rPr>
        <w:fldChar w:fldCharType="begin" w:fldLock="1"/>
      </w:r>
      <w:r w:rsidRPr="00B420D1">
        <w:rPr>
          <w:sz w:val="20"/>
        </w:rPr>
        <w:instrText>ADDIN CSL_CITATION { "citationItems" : [ { "id" : "ITEM-1", "itemData" : { "DOI" : "10.1017/S0376892911000506", "ISSN" : "0376-8929", "author" : [ { "dropping-particle" : "", "family" : "Daw", "given" : "Tim", "non-dropping-particle" : "", "parse-names" : false, "suffix" : "" }, { "dropping-particle" : "", "family" : "Brown", "given" : "Katrina", "non-dropping-particle" : "", "parse-names" : false, "suffix" : "" }, { "dropping-particle" : "", "family" : "Rosendo", "given" : "Sergio", "non-dropping-particle" : "", "parse-names" : false, "suffix" : "" }, { "dropping-particle" : "", "family" : "Pomeroy", "given" : "Robert", "non-dropping-particle" : "", "parse-names" : false, "suffix" : "" } ], "container-title" : "Environmental Conservation", "id" : "ITEM-1", "issue" : "04", "issued" : { "date-parts" : [ [ "2011", "11", "3" ] ] }, "page" : "370-379", "title" : "Applying the ecosystem services concept to poverty alleviation: the need to disaggregate human well-being", "type" : "article-journal", "volume" : "38" }, "uris" : [ "http://www.mendeley.com/documents/?uuid=17b25aa2-4c03-4757-9a6e-068e023e5b5f" ] }, { "id" : "ITEM-2", "itemData" : { "DOI" : "10.1016/j.ecolecon.2015.03.007", "ISSN" : "09218009", "abstract" : "Ecosystem service research has long been dominated by a monetary interpretation of value, neglecting other social perspectives on the importance of ecosystems for human well-being. Emphasis has been put on individual utility and rational choice, which does not adequately capture the full spectrum of social values of ecosystem services. A socio-cultural approach to value ecosystem services is increasingly advocated and is gaining more attention in the ecosystem service research agenda. The current documentation of socio-cultural perspectives on ecosystem services is, however, characterized by a conflation of the concepts of \u201ccultural ecosystem services\u201d and \u201csocio-cultural values\u201d of ecosystem services. This paper reviews (i) the concept of socio-cultural values within the ecosystem service framework, (ii) the social and ecological factors that determine socio-cultural values, and (iii) the methods by which socio-cultural values can be assessed. The clarifications of the concept of socio-cultural valuation and the structured listing of the available methods facilitate a better integration of socio-cultural values into ecosystem service assessments and help researchers to choose methods from the available portfolio.", "author" : [ { "dropping-particle" : "", "family" : "Scholte", "given" : "Samantha S.K.", "non-dropping-particle" : "", "parse-names" : false, "suffix" : "" }, { "dropping-particle" : "", "family" : "Teeffelen", "given" : "Astrid J.A.", "non-dropping-particle" : "van", "parse-names" : false, "suffix" : "" }, { "dropping-particle" : "", "family" : "Verburg", "given" : "Peter H.", "non-dropping-particle" : "", "parse-names" : false, "suffix" : "" } ], "container-title" : "Ecological Economics", "id" : "ITEM-2", "issued" : { "date-parts" : [ [ "2015", "6" ] ] }, "page" : "67-78", "title" : "Integrating socio-cultural perspectives into ecosystem service valuation: A review of concepts and methods", "type" : "article-journal", "volume" : "114" }, "uris" : [ "http://www.mendeley.com/documents/?uuid=eb9f1f29-8c8c-4ae6-9115-17317d1e2100" ] } ], "mendeley" : { "formattedCitation" : "(Daw et al 2011; Scholte et al 2015)", "plainTextFormattedCitation" : "(Daw et al 2011; Scholte et al 2015)", "previouslyFormattedCitation" : "(Daw et al 2011; Scholte et al 2015)" }, "properties" : { "noteIndex" : 0 }, "schema" : "https://github.com/citation-style-language/schema/raw/master/csl-citation.json" }</w:instrText>
      </w:r>
      <w:r w:rsidRPr="00B420D1">
        <w:rPr>
          <w:sz w:val="20"/>
        </w:rPr>
        <w:fldChar w:fldCharType="separate"/>
      </w:r>
      <w:r w:rsidRPr="00B420D1">
        <w:rPr>
          <w:noProof/>
          <w:sz w:val="20"/>
        </w:rPr>
        <w:t>(Daw et al 2011; Scholte et al 2015)</w:t>
      </w:r>
      <w:r w:rsidRPr="00B420D1">
        <w:rPr>
          <w:sz w:val="20"/>
        </w:rPr>
        <w:fldChar w:fldCharType="end"/>
      </w:r>
      <w:r w:rsidRPr="00B420D1">
        <w:rPr>
          <w:sz w:val="20"/>
        </w:rPr>
        <w:t xml:space="preserve">.  Given the supply-based focus in ES research, there is limited understanding of how values for (wetland) ESs are shaped by the way people perceive, depend on and use the ecosystem </w:t>
      </w:r>
      <w:r w:rsidRPr="00B420D1">
        <w:rPr>
          <w:sz w:val="20"/>
        </w:rPr>
        <w:fldChar w:fldCharType="begin" w:fldLock="1"/>
      </w:r>
      <w:r w:rsidRPr="00B420D1">
        <w:rPr>
          <w:sz w:val="20"/>
        </w:rPr>
        <w:instrText>ADDIN CSL_CITATION { "citationItems" : [ { "id" : "ITEM-1", "itemData" : { "DOI" : "10.1016/j.ecoser.2014.08.003", "ISSN" : "22120416", "abstract" : "Ecosystem services, fundamental to livelihoods and well-being, are reshaping environmental management and policy. However, the behavioral dimensions of ecosystem services and the responses of ordinary people to the management of those services, is less well understood. The ecosystem services framework lends itself to understanding the relationship between ecosystems and human behavior. Ecosystem services, according to the psychological theory of motivational functionalism, are motivations\u2014the personal and social processes that initiate, direct and sustain human action. Thus, how people perceive, acquire and use ecosystem services influences the initiation, direction, and intensity of their behaviors. Profound understanding of how people perceive, acquire and use ecosystem services can help influence behavioral compliance with management and policy prescriptions. We use focus group interviewing to illustrate how ecosystem services relate to human behavior. Results show that people perceive, acquire and use indirect benefits while acquiring direct ecosystem services. Understanding indirect benefits has implications for the constitution and regulation of human behavior through ecosystem management and policy. Perceived ecosystem benefits, expressed in people\u05f3s own words and from their own frames of reference, can facilitate better valuation of ecosystem services and setting of prices, compliance with ecosystem management and policy directives, recruitment and retention of ecosystem stewards, development of use policies, enhancement of user experiences, and encouragement of pro-environmental attitudes and behaviors.", "author" : [ { "dropping-particle" : "", "family" : "Asah", "given" : "Stanley T.", "non-dropping-particle" : "", "parse-names" : false, "suffix" : "" }, { "dropping-particle" : "", "family" : "Guerry", "given" : "Anne D.", "non-dropping-particle" : "", "parse-names" : false, "suffix" : "" }, { "dropping-particle" : "", "family" : "Blahna", "given" : "Dale J.", "non-dropping-particle" : "", "parse-names" : false, "suffix" : "" }, { "dropping-particle" : "", "family" : "Lawler", "given" : "Joshua J.", "non-dropping-particle" : "", "parse-names" : false, "suffix" : "" } ], "container-title" : "Ecosystem Services", "id" : "ITEM-1", "issued" : { "date-parts" : [ [ "2014", "10" ] ] }, "title" : "Perception, acquisition and use of ecosystem services: Human behavior, and ecosystem management and policy implications", "type" : "article-journal" }, "uris" : [ "http://www.mendeley.com/documents/?uuid=a645325a-956d-4061-b8f7-85219367c98b" ] } ], "mendeley" : { "formattedCitation" : "(Asah et al 2014)", "plainTextFormattedCitation" : "(Asah et al 2014)", "previouslyFormattedCitation" : "(Asah et al 2014)" }, "properties" : { "noteIndex" : 0 }, "schema" : "https://github.com/citation-style-language/schema/raw/master/csl-citation.json" }</w:instrText>
      </w:r>
      <w:r w:rsidRPr="00B420D1">
        <w:rPr>
          <w:sz w:val="20"/>
        </w:rPr>
        <w:fldChar w:fldCharType="separate"/>
      </w:r>
      <w:r w:rsidRPr="00B420D1">
        <w:rPr>
          <w:noProof/>
          <w:sz w:val="20"/>
        </w:rPr>
        <w:t>(Asah et al 2014)</w:t>
      </w:r>
      <w:r w:rsidRPr="00B420D1">
        <w:rPr>
          <w:sz w:val="20"/>
        </w:rPr>
        <w:fldChar w:fldCharType="end"/>
      </w:r>
      <w:r w:rsidRPr="00B420D1">
        <w:rPr>
          <w:sz w:val="20"/>
        </w:rPr>
        <w:t xml:space="preserve">. To contribute to this research gap, we investigate how the importance that local beneficiaries assign to wetland ESs, i.e. values for ESs, can be understood by looking at their knowledge of wetland ecosystems, i.e. awareness of ESs, and the way in which they depend on and use wetland ecosystems (Fig.1).  In addition, we aim to understand how values for ESs are related to attitudes towards wetland restoration. </w:t>
      </w:r>
    </w:p>
    <w:p w:rsidR="003F789A" w:rsidRPr="00B420D1" w:rsidRDefault="003F789A" w:rsidP="00B420D1">
      <w:pPr>
        <w:rPr>
          <w:noProof/>
          <w:sz w:val="20"/>
          <w:lang w:val="nl-NL" w:eastAsia="nl-NL"/>
        </w:rPr>
      </w:pPr>
      <w:r w:rsidRPr="00B420D1">
        <w:rPr>
          <w:sz w:val="20"/>
        </w:rPr>
        <w:tab/>
      </w:r>
      <w:r w:rsidR="008C4819">
        <w:rPr>
          <w:noProof/>
          <w:sz w:val="20"/>
          <w:lang w:val="en-IE" w:eastAsia="en-IE"/>
        </w:rPr>
        <w:drawing>
          <wp:inline distT="0" distB="0" distL="0" distR="0">
            <wp:extent cx="5876925" cy="2174240"/>
            <wp:effectExtent l="0" t="0" r="9525" b="0"/>
            <wp:docPr id="43" name="Picture 1"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2174240"/>
                    </a:xfrm>
                    <a:prstGeom prst="rect">
                      <a:avLst/>
                    </a:prstGeom>
                    <a:noFill/>
                    <a:ln>
                      <a:noFill/>
                    </a:ln>
                  </pic:spPr>
                </pic:pic>
              </a:graphicData>
            </a:graphic>
          </wp:inline>
        </w:drawing>
      </w:r>
    </w:p>
    <w:p w:rsidR="003F789A" w:rsidRPr="00B420D1" w:rsidRDefault="003F789A" w:rsidP="00B420D1">
      <w:pPr>
        <w:rPr>
          <w:b/>
          <w:sz w:val="20"/>
        </w:rPr>
      </w:pPr>
    </w:p>
    <w:p w:rsidR="003F789A" w:rsidRPr="00B420D1" w:rsidRDefault="003F789A" w:rsidP="00B420D1">
      <w:pPr>
        <w:rPr>
          <w:sz w:val="20"/>
        </w:rPr>
      </w:pPr>
      <w:r w:rsidRPr="00B420D1">
        <w:rPr>
          <w:b/>
          <w:sz w:val="20"/>
        </w:rPr>
        <w:t>Fig.1</w:t>
      </w:r>
      <w:r w:rsidRPr="00B420D1">
        <w:rPr>
          <w:sz w:val="20"/>
        </w:rPr>
        <w:t xml:space="preserve">. Conceptual diagram of the studied factors within the ES framework. Adapted from </w:t>
      </w:r>
      <w:r w:rsidRPr="00B420D1">
        <w:rPr>
          <w:sz w:val="20"/>
        </w:rPr>
        <w:fldChar w:fldCharType="begin" w:fldLock="1"/>
      </w:r>
      <w:r w:rsidRPr="00B420D1">
        <w:rPr>
          <w:sz w:val="20"/>
        </w:rPr>
        <w:instrText>ADDIN CSL_CITATION { "citationItems" : [ { "id" : "ITEM-1", "itemData" : { "author" : [ { "dropping-particle" : "", "family" : "Haines-Young", "given" : "R. H.", "non-dropping-particle" : "", "parse-names" : false, "suffix" : "" }, { "dropping-particle" : "", "family" : "Potschin", "given" : "M. B.", "non-dropping-particle" : "", "parse-names" : false, "suffix" : "" } ], "container-title" : "Ecosystem Ecology: a new synthesis", "id" : "ITEM-1", "issued" : { "date-parts" : [ [ "2010" ] ] }, "note" : "&lt;m:note&gt;scanned&lt;/m:note&gt;", "title" : "The links between biodiversity , ecosystem services and human well-being", "type" : "chapter" }, "uris" : [ "http://www.mendeley.com/documents/?uuid=6b75e725-bf77-4a41-b66c-aa4616b3fe2f" ] }, { "id" : "ITEM-2", "itemData" : { "author" : [ { "dropping-particle" : "", "family" : "Groot", "given" : "Rudolf", "non-dropping-particle" : "de", "parse-names" : false, "suffix" : "" }, { "dropping-particle" : "", "family" : "Fisher", "given" : "Brendan", "non-dropping-particle" : "", "parse-names" : false, "suffix" : "" }, { "dropping-particle" : "", "family" : "Christie", "given" : "Mike", "non-dropping-particle" : "", "parse-names" : false, "suffix" : "" }, { "dropping-particle" : "", "family" : "Aronson", "given" : "James", "non-dropping-particle" : "", "parse-names" : false, "suffix" : "" }, { "dropping-particle" : "", "family" : "Braat", "given" : "Leon", "non-dropping-particle" : "", "parse-names" : false, "suffix" : "" }, { "dropping-particle" : "", "family" : "Gowdy", "given" : "John", "non-dropping-particle" : "", "parse-names" : false, "suffix" : "" }, { "dropping-particle" : "", "family" : "Haines-young", "given" : "Roy", "non-dropping-particle" : "", "parse-names" : false, "suffix" : "" }, { "dropping-particle" : "", "family" : "Maltby", "given" : "Edward", "non-dropping-particle" : "", "parse-names" : false, "suffix" : "" }, { "dropping-particle" : "", "family" : "Neuville", "given" : "Aude", "non-dropping-particle" : "", "parse-names" : false, "suffix" : "" }, { "dropping-particle" : "", "family" : "Polasky", "given" : "Stephen", "non-dropping-particle" : "", "parse-names" : false, "suffix" : "" }, { "dropping-particle" : "", "family" : "Portela", "given" : "Rosimeiry", "non-dropping-particle" : "", "parse-names" : false, "suffix" : "" }, { "dropping-particle" : "", "family" : "Ring", "given" : "Irene", "non-dropping-particle" : "", "parse-names" : false, "suffix" : "" }, { "dropping-particle" : "", "family" : "Blignaut", "given" : "James", "non-dropping-particle" : "", "parse-names" : false, "suffix" : "" }, { "dropping-particle" : "", "family" : "Brond\u00edzio", "given" : "Eduardo", "non-dropping-particle" : "", "parse-names" : false, "suffix" : "" }, { "dropping-particle" : "", "family" : "Costanza", "given" : "Robert", "non-dropping-particle" : "", "parse-names" : false, "suffix" : "" }, { "dropping-particle" : "", "family" : "Jax", "given" : "Kurt", "non-dropping-particle" : "", "parse-names" : false, "suffix" : "" }, { "dropping-particle" : "", "family" : "Kadekodi", "given" : "Gopal K", "non-dropping-particle" : "", "parse-names" : false, "suffix" : "" }, { "dropping-particle" : "", "family" : "May", "given" : "Peter H", "non-dropping-particle" : "", "parse-names" : false, "suffix" : "" }, { "dropping-particle" : "", "family" : "Mcneely", "given" : "Jeffrey", "non-dropping-particle" : "", "parse-names" : false, "suffix" : "" }, { "dropping-particle" : "", "family" : "Shmelev", "given" : "Stanislav", "non-dropping-particle" : "", "parse-names" : false, "suffix" : "" } ], "chapter-number" : "Chapter 1", "container-title" : "The Economics of Ecosystems and Biodiversity: Ecological and Economic Foundations", "editor" : [ { "dropping-particle" : "", "family" : "Kumar", "given" : "Pushpam", "non-dropping-particle" : "", "parse-names" : false, "suffix" : "" } ], "id" : "ITEM-2", "issue" : "March", "issued" : { "date-parts" : [ [ "2010" ] ] }, "publisher" : "Earthscan", "publisher-place" : "London", "title" : "Integrating the ecological and economic dimensions in biodiversity and ecosystem service valuation", "type" : "chapter" }, "uris" : [ "http://www.mendeley.com/documents/?uuid=958b7549-64a1-4c84-9687-734bc465028f" ] } ], "mendeley" : { "formattedCitation" : "(de Groot et al 2010; Haines-Young and Potschin 2010)", "manualFormatting" : "de Groot et al. (2010) and Haines-Young &amp; Potschin (2010)", "plainTextFormattedCitation" : "(de Groot et al 2010; Haines-Young and Potschin 2010)", "previouslyFormattedCitation" : "(de Groot et al 2010; Haines-Young and Potschin 2010)" }, "properties" : { "noteIndex" : 0 }, "schema" : "https://github.com/citation-style-language/schema/raw/master/csl-citation.json" }</w:instrText>
      </w:r>
      <w:r w:rsidRPr="00B420D1">
        <w:rPr>
          <w:sz w:val="20"/>
        </w:rPr>
        <w:fldChar w:fldCharType="separate"/>
      </w:r>
      <w:r w:rsidRPr="00B420D1">
        <w:rPr>
          <w:noProof/>
          <w:sz w:val="20"/>
        </w:rPr>
        <w:t>de Groot et al. (2010) and Haines-Young &amp; Potschin (2010)</w:t>
      </w:r>
      <w:r w:rsidRPr="00B420D1">
        <w:rPr>
          <w:sz w:val="20"/>
        </w:rPr>
        <w:fldChar w:fldCharType="end"/>
      </w:r>
      <w:r w:rsidRPr="00B420D1">
        <w:rPr>
          <w:sz w:val="20"/>
        </w:rPr>
        <w:t>.</w:t>
      </w:r>
    </w:p>
    <w:p w:rsidR="003F789A" w:rsidRPr="00B420D1" w:rsidRDefault="003F789A" w:rsidP="00B420D1">
      <w:pPr>
        <w:rPr>
          <w:b/>
          <w:sz w:val="20"/>
        </w:rPr>
      </w:pPr>
    </w:p>
    <w:p w:rsidR="003F789A" w:rsidRPr="00B420D1" w:rsidRDefault="003F789A" w:rsidP="00B420D1">
      <w:pPr>
        <w:rPr>
          <w:sz w:val="20"/>
        </w:rPr>
      </w:pPr>
    </w:p>
    <w:p w:rsidR="003F789A" w:rsidRPr="00B420D1" w:rsidRDefault="003F789A" w:rsidP="00B420D1">
      <w:pPr>
        <w:rPr>
          <w:sz w:val="20"/>
        </w:rPr>
      </w:pPr>
      <w:r w:rsidRPr="00B420D1">
        <w:rPr>
          <w:sz w:val="20"/>
        </w:rPr>
        <w:t xml:space="preserve">We explicitly distinguish between the awareness of ESs and the socio-cultural values of ESs, because these two do not necessarily coincide. A person may be aware of the flood regulating capacity of a wetland as a benefit to others, but not consider it important for his or her own livelihood. As such, we define awareness of ESs as the ability of an individual to </w:t>
      </w:r>
      <w:r w:rsidRPr="00B420D1">
        <w:rPr>
          <w:i/>
          <w:sz w:val="20"/>
        </w:rPr>
        <w:t xml:space="preserve">recognize </w:t>
      </w:r>
      <w:r w:rsidRPr="00B420D1">
        <w:rPr>
          <w:sz w:val="20"/>
        </w:rPr>
        <w:t xml:space="preserve">the ESs delivered by an ecosystem and we define value of ESs as the importance people </w:t>
      </w:r>
      <w:r w:rsidRPr="00B420D1">
        <w:rPr>
          <w:i/>
          <w:sz w:val="20"/>
        </w:rPr>
        <w:t xml:space="preserve">assign </w:t>
      </w:r>
      <w:r w:rsidRPr="00B420D1">
        <w:rPr>
          <w:sz w:val="20"/>
        </w:rPr>
        <w:t xml:space="preserve">to ESs. Our focus is on a nature conservation area on the Lower Danube in Bulgaria where several wetlands have recently been restored. We explore the perceptions, values and activities of local farmers, fishermen and </w:t>
      </w:r>
      <w:r w:rsidRPr="00B420D1">
        <w:rPr>
          <w:sz w:val="20"/>
        </w:rPr>
        <w:lastRenderedPageBreak/>
        <w:t>residents to gain a better understanding of why local users are motivated to support wetland restoration efforts. By exploring the different perspectives towards wetland restoration this paper provides insights that can be used to better manage wetland conservation and restoration areas.</w:t>
      </w:r>
    </w:p>
    <w:p w:rsidR="003F789A" w:rsidRDefault="003F789A" w:rsidP="00E55058">
      <w:pPr>
        <w:tabs>
          <w:tab w:val="left" w:pos="880"/>
        </w:tabs>
        <w:spacing w:after="0" w:line="360" w:lineRule="auto"/>
        <w:outlineLvl w:val="0"/>
        <w:rPr>
          <w:rFonts w:cs="Arial"/>
          <w:b/>
          <w:sz w:val="24"/>
          <w:szCs w:val="24"/>
        </w:rPr>
      </w:pPr>
    </w:p>
    <w:p w:rsidR="003F789A" w:rsidRPr="008568B3" w:rsidRDefault="003F789A" w:rsidP="006D566F">
      <w:pPr>
        <w:pStyle w:val="Heading3"/>
        <w:numPr>
          <w:ilvl w:val="0"/>
          <w:numId w:val="0"/>
        </w:numPr>
        <w:tabs>
          <w:tab w:val="left" w:pos="880"/>
        </w:tabs>
      </w:pPr>
      <w:bookmarkStart w:id="145" w:name="_Toc436757161"/>
      <w:bookmarkStart w:id="146" w:name="_Toc436758100"/>
      <w:bookmarkStart w:id="147" w:name="_Toc436915635"/>
      <w:bookmarkStart w:id="148" w:name="_Toc436916074"/>
      <w:r>
        <w:t xml:space="preserve">5.2.2 </w:t>
      </w:r>
      <w:r w:rsidRPr="008568B3">
        <w:t>Methods</w:t>
      </w:r>
      <w:bookmarkEnd w:id="145"/>
      <w:bookmarkEnd w:id="146"/>
      <w:bookmarkEnd w:id="147"/>
      <w:bookmarkEnd w:id="148"/>
    </w:p>
    <w:p w:rsidR="003F789A" w:rsidRDefault="003F789A" w:rsidP="00E55058">
      <w:pPr>
        <w:tabs>
          <w:tab w:val="left" w:pos="880"/>
        </w:tabs>
        <w:spacing w:after="0" w:line="360" w:lineRule="auto"/>
        <w:rPr>
          <w:rFonts w:cs="Arial"/>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Study area</w:t>
      </w:r>
    </w:p>
    <w:p w:rsidR="003F789A" w:rsidRPr="00734230" w:rsidRDefault="003F789A" w:rsidP="00E55058">
      <w:pPr>
        <w:tabs>
          <w:tab w:val="left" w:pos="880"/>
        </w:tabs>
        <w:spacing w:after="0" w:line="360" w:lineRule="auto"/>
        <w:rPr>
          <w:rFonts w:cs="Arial"/>
          <w:sz w:val="20"/>
        </w:rPr>
      </w:pPr>
      <w:proofErr w:type="spellStart"/>
      <w:r w:rsidRPr="00734230">
        <w:rPr>
          <w:rFonts w:cs="Arial"/>
          <w:sz w:val="20"/>
        </w:rPr>
        <w:t>Persina</w:t>
      </w:r>
      <w:proofErr w:type="spellEnd"/>
      <w:r w:rsidRPr="00734230">
        <w:rPr>
          <w:rFonts w:cs="Arial"/>
          <w:sz w:val="20"/>
        </w:rPr>
        <w:t xml:space="preserve"> </w:t>
      </w:r>
      <w:r>
        <w:rPr>
          <w:rFonts w:cs="Arial"/>
          <w:sz w:val="20"/>
        </w:rPr>
        <w:t xml:space="preserve">Nature Park  </w:t>
      </w:r>
      <w:r w:rsidRPr="00734230">
        <w:rPr>
          <w:rFonts w:cs="Arial"/>
          <w:sz w:val="20"/>
        </w:rPr>
        <w:t xml:space="preserve">is the only nature </w:t>
      </w:r>
      <w:r>
        <w:rPr>
          <w:rFonts w:cs="Arial"/>
          <w:sz w:val="20"/>
        </w:rPr>
        <w:t>conservation area</w:t>
      </w:r>
      <w:r w:rsidRPr="00734230">
        <w:rPr>
          <w:rFonts w:cs="Arial"/>
          <w:sz w:val="20"/>
        </w:rPr>
        <w:t xml:space="preserve"> along the Bulgarian part of the Danube</w:t>
      </w:r>
      <w:r>
        <w:rPr>
          <w:rFonts w:cs="Arial"/>
          <w:sz w:val="20"/>
        </w:rPr>
        <w:t xml:space="preserve"> River</w:t>
      </w:r>
      <w:r w:rsidRPr="00734230">
        <w:rPr>
          <w:rFonts w:cs="Arial"/>
          <w:sz w:val="20"/>
        </w:rPr>
        <w:t>, covering an area of 21,762 hectares. It was established in 2001 comprises the last 860</w:t>
      </w:r>
      <w:r>
        <w:rPr>
          <w:rFonts w:cs="Arial"/>
          <w:sz w:val="20"/>
        </w:rPr>
        <w:t xml:space="preserve"> km of the 3000 km long Danube R</w:t>
      </w:r>
      <w:r w:rsidRPr="00734230">
        <w:rPr>
          <w:rFonts w:cs="Arial"/>
          <w:sz w:val="20"/>
        </w:rPr>
        <w:t xml:space="preserve">iver,  </w:t>
      </w:r>
      <w:r>
        <w:rPr>
          <w:rFonts w:cs="Arial"/>
          <w:sz w:val="20"/>
        </w:rPr>
        <w:t xml:space="preserve">There are two municipalities </w:t>
      </w:r>
      <w:r w:rsidRPr="00734230">
        <w:rPr>
          <w:rFonts w:cs="Arial"/>
          <w:sz w:val="20"/>
        </w:rPr>
        <w:t>w</w:t>
      </w:r>
      <w:r>
        <w:rPr>
          <w:rFonts w:cs="Arial"/>
          <w:sz w:val="20"/>
        </w:rPr>
        <w:t xml:space="preserve">ithin the boundaries of </w:t>
      </w:r>
      <w:proofErr w:type="spellStart"/>
      <w:r>
        <w:rPr>
          <w:rFonts w:cs="Arial"/>
          <w:sz w:val="20"/>
        </w:rPr>
        <w:t>Persina</w:t>
      </w:r>
      <w:proofErr w:type="spellEnd"/>
      <w:r>
        <w:rPr>
          <w:rFonts w:cs="Arial"/>
          <w:sz w:val="20"/>
        </w:rPr>
        <w:t xml:space="preserve">: </w:t>
      </w:r>
      <w:proofErr w:type="spellStart"/>
      <w:r>
        <w:rPr>
          <w:rFonts w:cs="Arial"/>
          <w:sz w:val="20"/>
        </w:rPr>
        <w:t>Belene</w:t>
      </w:r>
      <w:proofErr w:type="spellEnd"/>
      <w:r>
        <w:rPr>
          <w:rFonts w:cs="Arial"/>
          <w:sz w:val="20"/>
        </w:rPr>
        <w:t xml:space="preserve"> (10,318 inhabitants) and Nikopol (9,305</w:t>
      </w:r>
      <w:r w:rsidRPr="00734230">
        <w:rPr>
          <w:rFonts w:cs="Arial"/>
          <w:sz w:val="20"/>
        </w:rPr>
        <w:t>)</w:t>
      </w:r>
      <w:r>
        <w:rPr>
          <w:rFonts w:cs="Arial"/>
          <w:sz w:val="20"/>
        </w:rPr>
        <w:t>.</w:t>
      </w:r>
      <w:r w:rsidRPr="00734230">
        <w:rPr>
          <w:rFonts w:cs="Arial"/>
          <w:sz w:val="20"/>
        </w:rPr>
        <w:t xml:space="preserve"> The main economic activities in the area are agriculture and fishing. Most of the area is state-owned (60%), while the rest of the </w:t>
      </w:r>
      <w:r>
        <w:rPr>
          <w:rFonts w:cs="Arial"/>
          <w:sz w:val="20"/>
        </w:rPr>
        <w:t xml:space="preserve">area is owned by farmers. Small </w:t>
      </w:r>
      <w:r w:rsidRPr="00734230">
        <w:rPr>
          <w:rFonts w:cs="Arial"/>
          <w:sz w:val="20"/>
        </w:rPr>
        <w:t xml:space="preserve">scale farms are most prominent, but are often owned and managed by big leaseholders.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sidRPr="00734230">
        <w:rPr>
          <w:rFonts w:cs="Arial"/>
          <w:sz w:val="20"/>
        </w:rPr>
        <w:t>Along the Lower Danube 75% of the floodplains have been cut off</w:t>
      </w:r>
      <w:r>
        <w:rPr>
          <w:rFonts w:cs="Arial"/>
          <w:sz w:val="20"/>
        </w:rPr>
        <w:t xml:space="preserve"> from the river</w:t>
      </w:r>
      <w:r w:rsidRPr="00734230">
        <w:rPr>
          <w:rFonts w:cs="Arial"/>
          <w:sz w:val="20"/>
        </w:rPr>
        <w:t xml:space="preserve"> </w:t>
      </w:r>
      <w:r>
        <w:rPr>
          <w:rFonts w:cs="Arial"/>
          <w:sz w:val="20"/>
        </w:rPr>
        <w:fldChar w:fldCharType="begin" w:fldLock="1"/>
      </w:r>
      <w:r>
        <w:rPr>
          <w:rFonts w:cs="Arial"/>
          <w:sz w:val="20"/>
        </w:rPr>
        <w:instrText>ADDIN CSL_CITATION { "citationItems" : [ { "id" : "ITEM-1", "itemData" : { "DOI" : "10.3763/cdev.2009.0022", "ISSN" : "17565529", "abstract" : "Conversion of the Danube river floodplains through dyke construction for farming and other development has cut off 95, 75 and 28% of the floodplains of the upper Danube, the lower Danube and the Danube delta, respectively. Together with channelization, this has exacerbated flood peaks. Anthropogenic climate change is anticipated to bring more frequent flooding and reduced water quality. In assessing ongoing floodplain restoration work that commenced in 1993, this paper finds the following. (a) Along the lower Danube River, restoration of floodplains by decommissioning under-performing flood protection infrastructure has provided many benefits. The benefits of these adaptation measures include improved natural capacity to retain and release floodwaters and remove pollutants, enhanced biodiversity, and strengthened local economies through diversification of livelihoods based on natural resources. (b) The drivers for more successful adaptation measures in the Danube included EU expansion, legal mechanisms, and local desire to improve livelihoods. The support of non-governmental organizations (WWF and partner organizations) for basin- and regional-level planning for more effective water resource management has also been a powerful driver of policy change in the lower Danube countries.\nConversion of the Danube river floodplains through dyke construction for farming and other development has cut off 95, 75 and 28% of the floodplains of the upper Danube, the lower Danube and the Danube delta, respectively. Together with channelization, this has exacerbated flood peaks. Anthropogenic climate change is anticipated to bring more frequent flooding and reduced water quality. In assessing ongoing floodplain restoration work that commenced in 1993, this paper finds the following. (a) Along the lower Danube River, restoration of floodplains by decommissioning under-performing flood protection infrastructure has provided many benefits. The benefits of these adaptation measures include improved natural capacity to retain and release floodwaters and remove pollutants, enhanced biodiversity, and strengthened local economies through diversification of livelihoods based on natural resources. (b) The drivers for more successful adaptation measures in the Danube included EU expansion, legal mechanisms, and local desire to improve livelihoods. The support of non-governmental organizations (WWF and partner organizations) for basin- and regional-level planning for more effective\u2026", "author" : [ { "dropping-particle" : "", "family" : "Ebert", "given" : "Suzanne", "non-dropping-particle" : "", "parse-names" : false, "suffix" : "" }, { "dropping-particle" : "", "family" : "Hulea", "given" : "Orieta", "non-dropping-particle" : "", "parse-names" : false, "suffix" : "" }, { "dropping-particle" : "", "family" : "Strobel", "given" : "David", "non-dropping-particle" : "", "parse-names" : false, "suffix" : "" } ], "container-title" : "Climate and Development", "id" : "ITEM-1", "issue" : "3", "issued" : { "date-parts" : [ [ "2009", "11", "1" ] ] }, "page" : "212-219", "publisher" : "Taylor &amp; Francis", "title" : "Floodplain restoration along the lower Danube: A climate change adaptation case study", "type" : "article-journal", "volume" : "1" }, "uris" : [ "http://www.mendeley.com/documents/?uuid=f938de46-abe6-4da8-8d29-8b1252c0c479" ] } ], "mendeley" : { "formattedCitation" : "(Ebert et al 2009)", "manualFormatting" : "(Ebert et al., 2009)", "plainTextFormattedCitation" : "(Ebert et al 2009)", "previouslyFormattedCitation" : "(Ebert et al 2009)" }, "properties" : { "noteIndex" : 0 }, "schema" : "https://github.com/citation-style-language/schema/raw/master/csl-citation.json" }</w:instrText>
      </w:r>
      <w:r>
        <w:rPr>
          <w:rFonts w:cs="Arial"/>
          <w:sz w:val="20"/>
        </w:rPr>
        <w:fldChar w:fldCharType="separate"/>
      </w:r>
      <w:r w:rsidRPr="00734230">
        <w:rPr>
          <w:rFonts w:cs="Arial"/>
          <w:noProof/>
          <w:sz w:val="20"/>
        </w:rPr>
        <w:t>(Ebert et al., 2009)</w:t>
      </w:r>
      <w:r>
        <w:rPr>
          <w:rFonts w:cs="Arial"/>
          <w:sz w:val="20"/>
        </w:rPr>
        <w:fldChar w:fldCharType="end"/>
      </w:r>
      <w:r w:rsidRPr="00734230">
        <w:rPr>
          <w:rFonts w:cs="Arial"/>
          <w:sz w:val="20"/>
        </w:rPr>
        <w:t xml:space="preserve">, mostly in the 1960’s to make room for agricultural lands, fishponds and hybrid poplar plantations </w:t>
      </w:r>
      <w:r>
        <w:rPr>
          <w:rFonts w:cs="Arial"/>
          <w:sz w:val="20"/>
        </w:rPr>
        <w:fldChar w:fldCharType="begin" w:fldLock="1"/>
      </w:r>
      <w:r>
        <w:rPr>
          <w:rFonts w:cs="Arial"/>
          <w:sz w:val="20"/>
        </w:rPr>
        <w:instrText>ADDIN CSL_CITATION { "citationItems" : [ { "id" : "ITEM-1", "itemData" : { "author" : [ { "dropping-particle" : "", "family" : "Schneider", "given" : "Erika", "non-dropping-particle" : "", "parse-names" : false, "suffix" : "" } ], "container-title" : "Restoration of Lakes, Streams, Floodplains, and Bogs in Europe", "editor" : [ { "dropping-particle" : "", "family" : "Eiseltov\u00e1", "given" : "Martina", "non-dropping-particle" : "", "parse-names" : false, "suffix" : "" } ], "id" : "ITEM-1", "issued" : { "date-parts" : [ [ "2010" ] ] }, "page" : "185-223", "publisher" : "Springer Netherlands", "title" : "Floodplain Restoration of Large European Rivers with Examples from the Rhine and the Danube", "type" : "chapter" }, "uris" : [ "http://www.mendeley.com/documents/?uuid=21985c2c-01ec-4fee-8dee-7819d71b7b24" ] } ], "mendeley" : { "formattedCitation" : "(Schneider 2010)", "plainTextFormattedCitation" : "(Schneider 2010)", "previouslyFormattedCitation" : "(Schneider 2010)" }, "properties" : { "noteIndex" : 0 }, "schema" : "https://github.com/citation-style-language/schema/raw/master/csl-citation.json" }</w:instrText>
      </w:r>
      <w:r>
        <w:rPr>
          <w:rFonts w:cs="Arial"/>
          <w:sz w:val="20"/>
        </w:rPr>
        <w:fldChar w:fldCharType="separate"/>
      </w:r>
      <w:r w:rsidRPr="008B2370">
        <w:rPr>
          <w:rFonts w:cs="Arial"/>
          <w:noProof/>
          <w:sz w:val="20"/>
        </w:rPr>
        <w:t>(Schneider 2010)</w:t>
      </w:r>
      <w:r>
        <w:rPr>
          <w:rFonts w:cs="Arial"/>
          <w:sz w:val="20"/>
        </w:rPr>
        <w:fldChar w:fldCharType="end"/>
      </w:r>
      <w:r w:rsidRPr="00734230">
        <w:rPr>
          <w:rFonts w:cs="Arial"/>
          <w:sz w:val="20"/>
        </w:rPr>
        <w:t xml:space="preserve">. Recognizing the loss of important hydrological and ecological functions, </w:t>
      </w:r>
      <w:r>
        <w:rPr>
          <w:rFonts w:cs="Arial"/>
          <w:sz w:val="20"/>
        </w:rPr>
        <w:t xml:space="preserve">such as the mediation of pollutants and </w:t>
      </w:r>
      <w:r w:rsidRPr="00734230">
        <w:rPr>
          <w:rFonts w:cs="Arial"/>
          <w:sz w:val="20"/>
        </w:rPr>
        <w:t>t</w:t>
      </w:r>
      <w:r>
        <w:rPr>
          <w:rFonts w:cs="Arial"/>
          <w:sz w:val="20"/>
        </w:rPr>
        <w:t xml:space="preserve">he increased probability of a flood event </w:t>
      </w:r>
      <w:r>
        <w:rPr>
          <w:rFonts w:cs="Arial"/>
          <w:sz w:val="20"/>
        </w:rPr>
        <w:fldChar w:fldCharType="begin" w:fldLock="1"/>
      </w:r>
      <w:r>
        <w:rPr>
          <w:rFonts w:cs="Arial"/>
          <w:sz w:val="20"/>
        </w:rPr>
        <w:instrText>ADDIN CSL_CITATION { "citationItems" : [ { "id" : "ITEM-1", "itemData" : { "DOI" : "10.1088/1755-1307/6/40/402002", "ISSN" : "1755-1315", "abstract" : "This article was submitted without an abstract, please refer to the full-text PDF file.", "author" : [ { "dropping-particle" : "", "family" : "Hulea", "given" : "Orieta", "non-dropping-particle" : "", "parse-names" : false, "suffix" : "" }, { "dropping-particle" : "", "family" : "Ebert", "given" : "S", "non-dropping-particle" : "", "parse-names" : false, "suffix" : "" }, { "dropping-particle" : "", "family" : "Strobel", "given" : "D", "non-dropping-particle" : "", "parse-names" : false, "suffix" : "" } ], "container-title" : "IOP Conference Series: Earth and Environmental Science", "id" : "ITEM-1", "issue" : "40", "issued" : { "date-parts" : [ [ "2009", "2", "1" ] ] }, "page" : "402002", "title" : "Floodplain restoration along the Lower Danube: A climate change adaptation case study", "type" : "article-journal", "volume" : "6" }, "uris" : [ "http://www.mendeley.com/documents/?uuid=6c7979dc-038c-4530-85f3-b6ac58cffa70" ] } ], "mendeley" : { "formattedCitation" : "(Hulea et al 2009)", "manualFormatting" : "(Hulea et al., 2009)", "plainTextFormattedCitation" : "(Hulea et al 2009)", "previouslyFormattedCitation" : "(Hulea et al 2009)" }, "properties" : { "noteIndex" : 0 }, "schema" : "https://github.com/citation-style-language/schema/raw/master/csl-citation.json" }</w:instrText>
      </w:r>
      <w:r>
        <w:rPr>
          <w:rFonts w:cs="Arial"/>
          <w:sz w:val="20"/>
        </w:rPr>
        <w:fldChar w:fldCharType="separate"/>
      </w:r>
      <w:r w:rsidRPr="0076660F">
        <w:rPr>
          <w:rFonts w:cs="Arial"/>
          <w:noProof/>
          <w:sz w:val="20"/>
        </w:rPr>
        <w:t>(Hulea</w:t>
      </w:r>
      <w:r>
        <w:rPr>
          <w:rFonts w:cs="Arial"/>
          <w:noProof/>
          <w:sz w:val="20"/>
        </w:rPr>
        <w:t xml:space="preserve"> et al., </w:t>
      </w:r>
      <w:r w:rsidRPr="0076660F">
        <w:rPr>
          <w:rFonts w:cs="Arial"/>
          <w:noProof/>
          <w:sz w:val="20"/>
        </w:rPr>
        <w:t>2009)</w:t>
      </w:r>
      <w:r>
        <w:rPr>
          <w:rFonts w:cs="Arial"/>
          <w:sz w:val="20"/>
        </w:rPr>
        <w:fldChar w:fldCharType="end"/>
      </w:r>
      <w:r>
        <w:rPr>
          <w:rFonts w:cs="Arial"/>
          <w:sz w:val="20"/>
        </w:rPr>
        <w:t>, the World Wide Fund for Nature (WWF)</w:t>
      </w:r>
      <w:r w:rsidRPr="00734230">
        <w:rPr>
          <w:rFonts w:cs="Arial"/>
          <w:sz w:val="20"/>
        </w:rPr>
        <w:t xml:space="preserve"> secured an agreement between the governments of Bulgaria, Romani</w:t>
      </w:r>
      <w:r>
        <w:rPr>
          <w:rFonts w:cs="Arial"/>
          <w:sz w:val="20"/>
        </w:rPr>
        <w:t>a</w:t>
      </w:r>
      <w:r w:rsidRPr="00734230">
        <w:rPr>
          <w:rFonts w:cs="Arial"/>
          <w:sz w:val="20"/>
        </w:rPr>
        <w:t xml:space="preserve">, Ukraine and Moldova to establish a ‘Lower Danube Green Corridor’ (LDGC) in 2000. The aim of </w:t>
      </w:r>
      <w:r>
        <w:rPr>
          <w:rFonts w:cs="Arial"/>
          <w:sz w:val="20"/>
        </w:rPr>
        <w:t>the LDGC</w:t>
      </w:r>
      <w:r w:rsidRPr="00734230">
        <w:rPr>
          <w:rFonts w:cs="Arial"/>
          <w:sz w:val="20"/>
        </w:rPr>
        <w:t xml:space="preserve"> project</w:t>
      </w:r>
      <w:r>
        <w:rPr>
          <w:rFonts w:cs="Arial"/>
          <w:sz w:val="20"/>
        </w:rPr>
        <w:t xml:space="preserve"> is to:</w:t>
      </w:r>
      <w:r w:rsidRPr="00734230">
        <w:rPr>
          <w:rFonts w:cs="Arial"/>
          <w:sz w:val="20"/>
        </w:rPr>
        <w:t xml:space="preserve"> </w:t>
      </w:r>
    </w:p>
    <w:p w:rsidR="003F789A" w:rsidRPr="00001A63"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ind w:left="440" w:right="560"/>
        <w:rPr>
          <w:rFonts w:cs="Arial"/>
          <w:sz w:val="20"/>
        </w:rPr>
      </w:pPr>
      <w:r w:rsidRPr="003835CE">
        <w:rPr>
          <w:rFonts w:cs="Arial"/>
          <w:i/>
          <w:sz w:val="18"/>
          <w:szCs w:val="18"/>
        </w:rPr>
        <w:t>‘</w:t>
      </w:r>
      <w:r w:rsidRPr="003835CE">
        <w:rPr>
          <w:rFonts w:cs="Arial"/>
          <w:sz w:val="18"/>
          <w:szCs w:val="18"/>
        </w:rPr>
        <w:t>make the Lower Danube a living River again, connected to its natural flooding areas and wetlands, reducing risks of major flooding in areas with human settlements and offering benefits both for local economies – fisheries, tourism – and for the ecosystems along the river</w:t>
      </w:r>
      <w:r w:rsidRPr="003835CE">
        <w:rPr>
          <w:rFonts w:cs="Arial"/>
          <w:i/>
          <w:sz w:val="18"/>
          <w:szCs w:val="18"/>
        </w:rPr>
        <w:t xml:space="preserve">’ </w:t>
      </w:r>
      <w:r w:rsidRPr="003835CE">
        <w:rPr>
          <w:rFonts w:cs="Arial"/>
          <w:sz w:val="18"/>
          <w:szCs w:val="18"/>
        </w:rPr>
        <w:t xml:space="preserve">(WWF 2010). </w:t>
      </w:r>
    </w:p>
    <w:p w:rsidR="003F789A" w:rsidRDefault="003F789A" w:rsidP="00E55058">
      <w:pPr>
        <w:tabs>
          <w:tab w:val="left" w:pos="880"/>
        </w:tabs>
        <w:spacing w:after="0" w:line="360" w:lineRule="auto"/>
        <w:ind w:left="440" w:right="560"/>
        <w:rPr>
          <w:rFonts w:cs="Arial"/>
          <w:sz w:val="20"/>
        </w:rPr>
      </w:pPr>
    </w:p>
    <w:p w:rsidR="003F789A" w:rsidRPr="005B2121" w:rsidRDefault="003F789A" w:rsidP="00E55058">
      <w:pPr>
        <w:tabs>
          <w:tab w:val="left" w:pos="880"/>
        </w:tabs>
        <w:spacing w:after="0" w:line="360" w:lineRule="auto"/>
        <w:rPr>
          <w:rFonts w:cs="Arial"/>
          <w:sz w:val="20"/>
        </w:rPr>
      </w:pPr>
      <w:r w:rsidRPr="00734230">
        <w:rPr>
          <w:rFonts w:cs="Arial"/>
          <w:sz w:val="20"/>
        </w:rPr>
        <w:t>A</w:t>
      </w:r>
      <w:r>
        <w:rPr>
          <w:rFonts w:cs="Arial"/>
          <w:sz w:val="20"/>
        </w:rPr>
        <w:t xml:space="preserve"> further</w:t>
      </w:r>
      <w:r w:rsidRPr="00734230">
        <w:rPr>
          <w:rFonts w:cs="Arial"/>
          <w:sz w:val="20"/>
        </w:rPr>
        <w:t xml:space="preserve"> important aim </w:t>
      </w:r>
      <w:r>
        <w:rPr>
          <w:rFonts w:cs="Arial"/>
          <w:sz w:val="20"/>
        </w:rPr>
        <w:t>of</w:t>
      </w:r>
      <w:r w:rsidRPr="00734230">
        <w:rPr>
          <w:rFonts w:cs="Arial"/>
          <w:sz w:val="20"/>
        </w:rPr>
        <w:t xml:space="preserve"> </w:t>
      </w:r>
      <w:r>
        <w:rPr>
          <w:rFonts w:cs="Arial"/>
          <w:sz w:val="20"/>
        </w:rPr>
        <w:t xml:space="preserve">the </w:t>
      </w:r>
      <w:r w:rsidRPr="00734230">
        <w:rPr>
          <w:rFonts w:cs="Arial"/>
          <w:sz w:val="20"/>
        </w:rPr>
        <w:t xml:space="preserve">WWF, who co-manage this restoration project, was to raise awareness </w:t>
      </w:r>
      <w:r>
        <w:rPr>
          <w:rFonts w:cs="Arial"/>
          <w:sz w:val="20"/>
        </w:rPr>
        <w:t xml:space="preserve">about the benefits provided by wetlands </w:t>
      </w:r>
      <w:r w:rsidRPr="00734230">
        <w:rPr>
          <w:rFonts w:cs="Arial"/>
          <w:sz w:val="20"/>
        </w:rPr>
        <w:t xml:space="preserve">and </w:t>
      </w:r>
      <w:r>
        <w:rPr>
          <w:rFonts w:cs="Arial"/>
          <w:sz w:val="20"/>
        </w:rPr>
        <w:t xml:space="preserve">to </w:t>
      </w:r>
      <w:r w:rsidRPr="00734230">
        <w:rPr>
          <w:rFonts w:cs="Arial"/>
          <w:sz w:val="20"/>
        </w:rPr>
        <w:t xml:space="preserve">gather </w:t>
      </w:r>
      <w:r>
        <w:rPr>
          <w:rFonts w:cs="Arial"/>
          <w:sz w:val="20"/>
        </w:rPr>
        <w:t xml:space="preserve">the </w:t>
      </w:r>
      <w:r w:rsidRPr="00734230">
        <w:rPr>
          <w:rFonts w:cs="Arial"/>
          <w:sz w:val="20"/>
        </w:rPr>
        <w:t xml:space="preserve">support </w:t>
      </w:r>
      <w:r>
        <w:rPr>
          <w:rFonts w:cs="Arial"/>
          <w:sz w:val="20"/>
        </w:rPr>
        <w:t>of</w:t>
      </w:r>
      <w:r w:rsidRPr="00734230">
        <w:rPr>
          <w:rFonts w:cs="Arial"/>
          <w:sz w:val="20"/>
        </w:rPr>
        <w:t xml:space="preserve"> local communities for wetland restoration. It is in this particular context that this study has taken place.</w:t>
      </w:r>
    </w:p>
    <w:p w:rsidR="003F789A" w:rsidRDefault="003F789A" w:rsidP="00E55058">
      <w:pPr>
        <w:tabs>
          <w:tab w:val="left" w:pos="880"/>
        </w:tabs>
        <w:spacing w:after="0" w:line="360" w:lineRule="auto"/>
        <w:rPr>
          <w:rFonts w:cs="Arial"/>
          <w:b/>
          <w:sz w:val="20"/>
        </w:rPr>
      </w:pPr>
    </w:p>
    <w:p w:rsidR="003F789A" w:rsidRDefault="003F789A" w:rsidP="00E55058">
      <w:pPr>
        <w:tabs>
          <w:tab w:val="left" w:pos="880"/>
        </w:tabs>
        <w:spacing w:after="0" w:line="360" w:lineRule="auto"/>
        <w:rPr>
          <w:rFonts w:cs="Arial"/>
          <w:b/>
          <w:sz w:val="20"/>
        </w:rPr>
      </w:pPr>
    </w:p>
    <w:p w:rsidR="003F789A" w:rsidRDefault="003F789A" w:rsidP="00E55058">
      <w:pPr>
        <w:tabs>
          <w:tab w:val="left" w:pos="880"/>
        </w:tabs>
        <w:spacing w:after="0" w:line="360" w:lineRule="auto"/>
        <w:rPr>
          <w:rFonts w:cs="Arial"/>
          <w:b/>
          <w:sz w:val="20"/>
        </w:rPr>
      </w:pPr>
    </w:p>
    <w:p w:rsidR="003F789A" w:rsidRDefault="008C4819" w:rsidP="00E55058">
      <w:pPr>
        <w:tabs>
          <w:tab w:val="left" w:pos="880"/>
        </w:tabs>
        <w:spacing w:after="0" w:line="360" w:lineRule="auto"/>
        <w:rPr>
          <w:rFonts w:cs="Arial"/>
          <w:b/>
          <w:sz w:val="20"/>
        </w:rPr>
      </w:pPr>
      <w:r>
        <w:rPr>
          <w:rFonts w:cs="Arial"/>
          <w:b/>
          <w:noProof/>
          <w:sz w:val="20"/>
          <w:lang w:val="en-IE" w:eastAsia="en-IE"/>
        </w:rPr>
        <w:lastRenderedPageBreak/>
        <w:drawing>
          <wp:inline distT="0" distB="0" distL="0" distR="0">
            <wp:extent cx="3568700" cy="2921635"/>
            <wp:effectExtent l="0" t="0" r="0" b="0"/>
            <wp:docPr id="44" name="Picture 2"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8700" cy="2921635"/>
                    </a:xfrm>
                    <a:prstGeom prst="rect">
                      <a:avLst/>
                    </a:prstGeom>
                    <a:noFill/>
                    <a:ln>
                      <a:noFill/>
                    </a:ln>
                  </pic:spPr>
                </pic:pic>
              </a:graphicData>
            </a:graphic>
          </wp:inline>
        </w:drawing>
      </w:r>
    </w:p>
    <w:p w:rsidR="003F789A" w:rsidRPr="003835CE" w:rsidRDefault="003F789A" w:rsidP="00E55058">
      <w:pPr>
        <w:tabs>
          <w:tab w:val="left" w:pos="880"/>
        </w:tabs>
        <w:spacing w:after="0" w:line="360" w:lineRule="auto"/>
        <w:rPr>
          <w:rFonts w:cs="Arial"/>
          <w:sz w:val="18"/>
          <w:szCs w:val="18"/>
        </w:rPr>
      </w:pPr>
      <w:r w:rsidRPr="003835CE">
        <w:rPr>
          <w:rFonts w:cs="Arial"/>
          <w:b/>
          <w:sz w:val="18"/>
          <w:szCs w:val="18"/>
        </w:rPr>
        <w:t>Fig. 2.</w:t>
      </w:r>
      <w:r w:rsidRPr="003835CE">
        <w:rPr>
          <w:rFonts w:cs="Arial"/>
          <w:sz w:val="18"/>
          <w:szCs w:val="18"/>
        </w:rPr>
        <w:t xml:space="preserve">  Location of the study area</w:t>
      </w:r>
    </w:p>
    <w:p w:rsidR="003F789A" w:rsidRPr="00F856D2" w:rsidRDefault="003F789A" w:rsidP="00E55058">
      <w:pPr>
        <w:tabs>
          <w:tab w:val="left" w:pos="880"/>
        </w:tabs>
        <w:spacing w:after="0" w:line="360" w:lineRule="auto"/>
        <w:rPr>
          <w:rFonts w:cs="Arial"/>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Wetland types</w:t>
      </w:r>
    </w:p>
    <w:p w:rsidR="003F789A" w:rsidRPr="00BF3F5C" w:rsidRDefault="003F789A" w:rsidP="00E55058">
      <w:pPr>
        <w:tabs>
          <w:tab w:val="left" w:pos="880"/>
        </w:tabs>
        <w:spacing w:after="0" w:line="360" w:lineRule="auto"/>
        <w:rPr>
          <w:rFonts w:cs="Arial"/>
          <w:sz w:val="20"/>
        </w:rPr>
      </w:pPr>
      <w:r>
        <w:rPr>
          <w:rFonts w:cs="Arial"/>
          <w:sz w:val="20"/>
        </w:rPr>
        <w:t xml:space="preserve">There are different types of wetlands, each type having their own distinct characteristics. </w:t>
      </w:r>
      <w:r>
        <w:rPr>
          <w:rFonts w:cs="Arial"/>
          <w:sz w:val="20"/>
        </w:rPr>
        <w:fldChar w:fldCharType="begin" w:fldLock="1"/>
      </w:r>
      <w:r>
        <w:rPr>
          <w:rFonts w:cs="Arial"/>
          <w:sz w:val="20"/>
        </w:rPr>
        <w:instrText>ADDIN CSL_CITATION { "citationItems" : [ { "id" : "ITEM-1", "itemData" : { "DOI" : "10.1016/j.landurbplan.2012.11.003", "ISBN" : "0169-2046", "ISSN" : "01692046", "abstract" : "To be effective, wetland management must understand public perceptions, including what people notice when they look at wetlands. Previous studies have investigated wetland perception in terms of attitudes, knowledge and values. None have revealed what people 'see'. Thus, this study applies a novel methodology associated with Personal Construct Theory to reveal how Victorian freshwater wetlands that might be encountered incidentally in urban, pen-urban or rural landscapes are 'seen' by members of the public. Using photographic surrogates as stimuli (N=70), similarity photosorting tasks and open-ended interviews (N=50) generated numeric and categorical data, which were analysed qualitatively and quantitatively. Content analysis revealed how the wetlands were characterized, classified and valued. Data-reduction analyses revealed the cognitive structure of wetland perception, a framework of categories and constructs that underpin wetland meaning. Victorian freshwater wetlands were not perceived as an homogeneous group but as six categories, differentiated by the amount of water visible, presence of trees, water quality and habitat value. For these percipients, who had no attachment to the specific wetlands depicted in the stimuli, these biophysical properties constituted their. meaning. They also suggest that the perceptible realm extended beyond landscape patterns to include organisms, habitats and ecosystems and perhaps ecological processes. Associated values were predominantly ecologistic-scientific and aesthetic. Implications of this study for wetland management lie in the difference between the perceptual classification system and that used in wetland management, and the likely difference between what is 'seen' in wetlands by casual percipients and by residents actively engaged with the local landscape. Crown Copyright (C) 2012 Published by Elsevier B.V. All rights reserved.", "author" : [ { "dropping-particle" : "", "family" : "Dobbie", "given" : "Meredith", "non-dropping-particle" : "", "parse-names" : false, "suffix" : "" }, { "dropping-particle" : "", "family" : "Green", "given" : "Ray", "non-dropping-particle" : "", "parse-names" : false, "suffix" : "" } ], "container-title" : "Landscape and Urban Planning", "id" : "ITEM-1", "issued" : { "date-parts" : [ [ "2013", "2" ] ] }, "page" : "143-154", "publisher" : "Elsevier B.V.", "title" : "Public perceptions of freshwater wetlands in Victoria, Australia", "type" : "article-journal", "volume" : "110" }, "uris" : [ "http://www.mendeley.com/documents/?uuid=b89979f8-06d7-45dc-8c9f-bf8ebae2f110" ] } ], "mendeley" : { "formattedCitation" : "(Dobbie and Green 2013)", "manualFormatting" : "Dobbie and Green (2013)", "plainTextFormattedCitation" : "(Dobbie and Green 2013)", "previouslyFormattedCitation" : "(Dobbie and Green 2013)" }, "properties" : { "noteIndex" : 0 }, "schema" : "https://github.com/citation-style-language/schema/raw/master/csl-citation.json" }</w:instrText>
      </w:r>
      <w:r>
        <w:rPr>
          <w:rFonts w:cs="Arial"/>
          <w:sz w:val="20"/>
        </w:rPr>
        <w:fldChar w:fldCharType="separate"/>
      </w:r>
      <w:r w:rsidRPr="00275D91">
        <w:rPr>
          <w:rFonts w:cs="Arial"/>
          <w:noProof/>
          <w:sz w:val="20"/>
        </w:rPr>
        <w:t xml:space="preserve">Dobbie </w:t>
      </w:r>
      <w:r>
        <w:rPr>
          <w:rFonts w:cs="Arial"/>
          <w:noProof/>
          <w:sz w:val="20"/>
        </w:rPr>
        <w:t>and Green (</w:t>
      </w:r>
      <w:r w:rsidRPr="00275D91">
        <w:rPr>
          <w:rFonts w:cs="Arial"/>
          <w:noProof/>
          <w:sz w:val="20"/>
        </w:rPr>
        <w:t>2013)</w:t>
      </w:r>
      <w:r>
        <w:rPr>
          <w:rFonts w:cs="Arial"/>
          <w:sz w:val="20"/>
        </w:rPr>
        <w:fldChar w:fldCharType="end"/>
      </w:r>
      <w:r>
        <w:rPr>
          <w:rFonts w:cs="Arial"/>
          <w:sz w:val="20"/>
        </w:rPr>
        <w:t xml:space="preserve"> demonstrated that people do not see wetlands as a homogeneous group, but distinguish between different types.. We address three specific wetland types that are prominent in our study region: (a) treed wetlands, i.e. riparian forests, (b) wetlands with open water, i.e. marshes, and (c) grasslands, i.e. meadows. These wetland types also correspond to classes that can be found under the </w:t>
      </w:r>
      <w:proofErr w:type="spellStart"/>
      <w:r>
        <w:rPr>
          <w:rFonts w:cs="Arial"/>
          <w:sz w:val="20"/>
        </w:rPr>
        <w:t>Ramsar</w:t>
      </w:r>
      <w:proofErr w:type="spellEnd"/>
      <w:r>
        <w:rPr>
          <w:rFonts w:cs="Arial"/>
          <w:sz w:val="20"/>
        </w:rPr>
        <w:t xml:space="preserve"> Classification System for Wetland Type, specifically ‘Freshwater tree-dominated wetlands’ (riparian forests, class </w:t>
      </w:r>
      <w:proofErr w:type="spellStart"/>
      <w:r>
        <w:rPr>
          <w:rFonts w:cs="Arial"/>
          <w:sz w:val="20"/>
        </w:rPr>
        <w:t>Xf</w:t>
      </w:r>
      <w:proofErr w:type="spellEnd"/>
      <w:r>
        <w:rPr>
          <w:rFonts w:cs="Arial"/>
          <w:sz w:val="20"/>
        </w:rPr>
        <w:t xml:space="preserve">), ‘Permanent freshwater marshes’ (marshes, class </w:t>
      </w:r>
      <w:proofErr w:type="spellStart"/>
      <w:r>
        <w:rPr>
          <w:rFonts w:cs="Arial"/>
          <w:sz w:val="20"/>
        </w:rPr>
        <w:t>Tp</w:t>
      </w:r>
      <w:proofErr w:type="spellEnd"/>
      <w:r>
        <w:rPr>
          <w:rFonts w:cs="Arial"/>
          <w:sz w:val="20"/>
        </w:rPr>
        <w:t xml:space="preserve">), and ‘Seasonally intermittent freshwater marshes/pools, including seasonally flooded meadows’ (meadows, class </w:t>
      </w:r>
      <w:proofErr w:type="spellStart"/>
      <w:r>
        <w:rPr>
          <w:rFonts w:cs="Arial"/>
          <w:sz w:val="20"/>
        </w:rPr>
        <w:t>Ts</w:t>
      </w:r>
      <w:proofErr w:type="spellEnd"/>
      <w:r>
        <w:rPr>
          <w:rFonts w:cs="Arial"/>
          <w:sz w:val="20"/>
        </w:rPr>
        <w:t xml:space="preserve">) </w:t>
      </w:r>
      <w:r>
        <w:rPr>
          <w:rFonts w:cs="Arial"/>
          <w:sz w:val="20"/>
        </w:rPr>
        <w:fldChar w:fldCharType="begin" w:fldLock="1"/>
      </w:r>
      <w:r>
        <w:rPr>
          <w:rFonts w:cs="Arial"/>
          <w:sz w:val="20"/>
        </w:rPr>
        <w:instrText>ADDIN CSL_CITATION { "citationItems" : [ { "id" : "ITEM-1", "itemData" : { "author" : [ { "dropping-particle" : "", "family" : "Ramsar Convention Secretariat", "given" : "", "non-dropping-particle" : "", "parse-names" : false, "suffix" : "" } ], "id" : "ITEM-1", "issue" : "4th edition", "issued" : { "date-parts" : [ [ "2010" ] ] }, "publisher-place" : "Gland, Switzerland", "title" : "Designating Ramsar Sites: Strategic Framework and guidelines for the future development of the List of Wetland for International Importance", "type" : "report", "volume" : "17" }, "uris" : [ "http://www.mendeley.com/documents/?uuid=52794e20-3d8b-45fb-903b-ba6a8283db0e" ] } ], "mendeley" : { "formattedCitation" : "(Ramsar Convention Secretariat 2010)", "plainTextFormattedCitation" : "(Ramsar Convention Secretariat 2010)", "previouslyFormattedCitation" : "(Ramsar Convention Secretariat 2010)" }, "properties" : { "noteIndex" : 0 }, "schema" : "https://github.com/citation-style-language/schema/raw/master/csl-citation.json" }</w:instrText>
      </w:r>
      <w:r>
        <w:rPr>
          <w:rFonts w:cs="Arial"/>
          <w:sz w:val="20"/>
        </w:rPr>
        <w:fldChar w:fldCharType="separate"/>
      </w:r>
      <w:r w:rsidRPr="008B2370">
        <w:rPr>
          <w:rFonts w:cs="Arial"/>
          <w:noProof/>
          <w:sz w:val="20"/>
        </w:rPr>
        <w:t>(Ramsar Convention Secretariat 2010)</w:t>
      </w:r>
      <w:r>
        <w:rPr>
          <w:rFonts w:cs="Arial"/>
          <w:sz w:val="20"/>
        </w:rPr>
        <w:fldChar w:fldCharType="end"/>
      </w:r>
      <w:r>
        <w:rPr>
          <w:rFonts w:cs="Arial"/>
          <w:sz w:val="20"/>
        </w:rPr>
        <w:t>.</w:t>
      </w:r>
    </w:p>
    <w:p w:rsidR="003F789A" w:rsidRDefault="003F789A" w:rsidP="00E55058">
      <w:pPr>
        <w:tabs>
          <w:tab w:val="left" w:pos="880"/>
        </w:tabs>
        <w:spacing w:after="0" w:line="360" w:lineRule="auto"/>
        <w:rPr>
          <w:rFonts w:cs="Arial"/>
          <w:i/>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Data collection and questionnaire design</w:t>
      </w:r>
    </w:p>
    <w:p w:rsidR="003F789A" w:rsidRDefault="003F789A" w:rsidP="00E55058">
      <w:pPr>
        <w:tabs>
          <w:tab w:val="left" w:pos="880"/>
        </w:tabs>
        <w:spacing w:after="0" w:line="360" w:lineRule="auto"/>
        <w:rPr>
          <w:rFonts w:cs="Arial"/>
          <w:sz w:val="20"/>
          <w:shd w:val="clear" w:color="auto" w:fill="FFFFFF"/>
        </w:rPr>
      </w:pPr>
      <w:r>
        <w:rPr>
          <w:rFonts w:cs="Arial"/>
          <w:sz w:val="20"/>
        </w:rPr>
        <w:t xml:space="preserve">We conducted structured face to face interviews </w:t>
      </w:r>
      <w:r>
        <w:rPr>
          <w:rFonts w:cs="Arial"/>
          <w:sz w:val="20"/>
          <w:shd w:val="clear" w:color="auto" w:fill="FFFFFF"/>
        </w:rPr>
        <w:t xml:space="preserve">amongst three different user groups in </w:t>
      </w:r>
      <w:proofErr w:type="spellStart"/>
      <w:r>
        <w:rPr>
          <w:rFonts w:cs="Arial"/>
          <w:sz w:val="20"/>
          <w:shd w:val="clear" w:color="auto" w:fill="FFFFFF"/>
        </w:rPr>
        <w:t>Persina</w:t>
      </w:r>
      <w:proofErr w:type="spellEnd"/>
      <w:r>
        <w:rPr>
          <w:rFonts w:cs="Arial"/>
          <w:sz w:val="20"/>
          <w:shd w:val="clear" w:color="auto" w:fill="FFFFFF"/>
        </w:rPr>
        <w:t xml:space="preserve">: farmers, fishermen and local residents of Nikopol and </w:t>
      </w:r>
      <w:proofErr w:type="spellStart"/>
      <w:r>
        <w:rPr>
          <w:rFonts w:cs="Arial"/>
          <w:sz w:val="20"/>
          <w:shd w:val="clear" w:color="auto" w:fill="FFFFFF"/>
        </w:rPr>
        <w:t>Belene</w:t>
      </w:r>
      <w:proofErr w:type="spellEnd"/>
      <w:r>
        <w:rPr>
          <w:rFonts w:cs="Arial"/>
          <w:sz w:val="20"/>
          <w:shd w:val="clear" w:color="auto" w:fill="FFFFFF"/>
        </w:rPr>
        <w:t xml:space="preserve"> in April and May 2014. We recruited four local interviewers and pre-tested a questionnaire in March 2014. We approached all farmers who applied for yearly funding at the Agricultural service between the period of April and May 2014 and requested their participation. The Executive Agency for Fisheries and Aquaculture provided us with contact details of all fishermen associations in the area. We approached local residents at public places, e.g. parks, restaurants and shops, in </w:t>
      </w:r>
      <w:proofErr w:type="spellStart"/>
      <w:r>
        <w:rPr>
          <w:rFonts w:cs="Arial"/>
          <w:sz w:val="20"/>
          <w:shd w:val="clear" w:color="auto" w:fill="FFFFFF"/>
        </w:rPr>
        <w:t>Belene</w:t>
      </w:r>
      <w:proofErr w:type="spellEnd"/>
      <w:r>
        <w:rPr>
          <w:rFonts w:cs="Arial"/>
          <w:sz w:val="20"/>
          <w:shd w:val="clear" w:color="auto" w:fill="FFFFFF"/>
        </w:rPr>
        <w:t xml:space="preserve"> and Nikopol. This lead to a total of 105 interviews. Three respondents did not complete the interview, leaving a total of 102 completed questionnaires.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sidRPr="00734230">
        <w:rPr>
          <w:rFonts w:cs="Arial"/>
          <w:sz w:val="20"/>
        </w:rPr>
        <w:lastRenderedPageBreak/>
        <w:t xml:space="preserve">The questionnaire was divided into </w:t>
      </w:r>
      <w:r>
        <w:rPr>
          <w:rFonts w:cs="Arial"/>
          <w:sz w:val="20"/>
        </w:rPr>
        <w:t>five sections, addressing 56 questions about: the use of ESs, awareness of ESs, socio-cultural values of ESs, attitudes towards wetland restoration and socio-demographics.</w:t>
      </w:r>
      <w:r w:rsidRPr="00734230">
        <w:rPr>
          <w:rFonts w:cs="Arial"/>
          <w:sz w:val="20"/>
        </w:rPr>
        <w:t xml:space="preserve"> For the questionnaire</w:t>
      </w:r>
      <w:r>
        <w:rPr>
          <w:rFonts w:cs="Arial"/>
          <w:sz w:val="20"/>
        </w:rPr>
        <w:t>,</w:t>
      </w:r>
      <w:r w:rsidRPr="00734230">
        <w:rPr>
          <w:rFonts w:cs="Arial"/>
          <w:sz w:val="20"/>
        </w:rPr>
        <w:t xml:space="preserve"> </w:t>
      </w:r>
      <w:r>
        <w:rPr>
          <w:rFonts w:cs="Arial"/>
          <w:sz w:val="20"/>
        </w:rPr>
        <w:t xml:space="preserve">we identified </w:t>
      </w:r>
      <w:r w:rsidRPr="00734230">
        <w:rPr>
          <w:rFonts w:cs="Arial"/>
          <w:sz w:val="20"/>
        </w:rPr>
        <w:t>a list of</w:t>
      </w:r>
      <w:r>
        <w:rPr>
          <w:rFonts w:cs="Arial"/>
          <w:sz w:val="20"/>
        </w:rPr>
        <w:t xml:space="preserve"> 14 ESs. We pre-selected ESs </w:t>
      </w:r>
      <w:r w:rsidRPr="00734230">
        <w:rPr>
          <w:rFonts w:cs="Arial"/>
          <w:sz w:val="20"/>
        </w:rPr>
        <w:t xml:space="preserve">based on </w:t>
      </w:r>
      <w:r>
        <w:rPr>
          <w:rFonts w:cs="Arial"/>
          <w:sz w:val="20"/>
        </w:rPr>
        <w:t xml:space="preserve">the Millennium Ecosystem Assessment (MEA) (2005) classification  and adapted this list with input from </w:t>
      </w:r>
      <w:r w:rsidRPr="00734230">
        <w:rPr>
          <w:rFonts w:cs="Arial"/>
          <w:sz w:val="20"/>
        </w:rPr>
        <w:t xml:space="preserve">stakeholders working at local environmental organizations. The </w:t>
      </w:r>
      <w:r>
        <w:rPr>
          <w:rFonts w:cs="Arial"/>
          <w:sz w:val="20"/>
        </w:rPr>
        <w:t>final ESs</w:t>
      </w:r>
      <w:r w:rsidRPr="00734230">
        <w:rPr>
          <w:rFonts w:cs="Arial"/>
          <w:sz w:val="20"/>
        </w:rPr>
        <w:t xml:space="preserve"> included in this study were provisioning (food, materials, medicines and biomass for energy), regulating (climate regulation, maintaining water quality, ground water retention, soil erosion control and flood control) and cultural</w:t>
      </w:r>
      <w:r>
        <w:rPr>
          <w:rFonts w:cs="Arial"/>
          <w:sz w:val="20"/>
        </w:rPr>
        <w:t xml:space="preserve"> </w:t>
      </w:r>
      <w:r w:rsidRPr="00734230">
        <w:rPr>
          <w:rFonts w:cs="Arial"/>
          <w:sz w:val="20"/>
        </w:rPr>
        <w:t>(</w:t>
      </w:r>
      <w:r>
        <w:rPr>
          <w:rFonts w:cs="Arial"/>
          <w:sz w:val="20"/>
        </w:rPr>
        <w:t>environmental education</w:t>
      </w:r>
      <w:r w:rsidRPr="00734230">
        <w:rPr>
          <w:rFonts w:cs="Arial"/>
          <w:sz w:val="20"/>
        </w:rPr>
        <w:t>, tourism,</w:t>
      </w:r>
      <w:r>
        <w:rPr>
          <w:rFonts w:cs="Arial"/>
          <w:sz w:val="20"/>
        </w:rPr>
        <w:t xml:space="preserve"> recreation,</w:t>
      </w:r>
      <w:r w:rsidRPr="00734230">
        <w:rPr>
          <w:rFonts w:cs="Arial"/>
          <w:sz w:val="20"/>
        </w:rPr>
        <w:t xml:space="preserve"> aesthetic </w:t>
      </w:r>
      <w:r>
        <w:rPr>
          <w:rFonts w:cs="Arial"/>
          <w:sz w:val="20"/>
        </w:rPr>
        <w:t>values</w:t>
      </w:r>
      <w:r w:rsidRPr="00734230">
        <w:rPr>
          <w:rFonts w:cs="Arial"/>
          <w:sz w:val="20"/>
        </w:rPr>
        <w:t xml:space="preserve"> and existence values </w:t>
      </w:r>
      <w:r>
        <w:rPr>
          <w:rFonts w:cs="Arial"/>
          <w:sz w:val="20"/>
        </w:rPr>
        <w:t>for</w:t>
      </w:r>
      <w:r w:rsidRPr="00734230">
        <w:rPr>
          <w:rFonts w:cs="Arial"/>
          <w:sz w:val="20"/>
        </w:rPr>
        <w:t xml:space="preserve"> biodiversity).</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sidRPr="00734230">
        <w:rPr>
          <w:rFonts w:cs="Arial"/>
          <w:sz w:val="20"/>
        </w:rPr>
        <w:t>The first section of the questionnaire</w:t>
      </w:r>
      <w:r>
        <w:rPr>
          <w:rFonts w:cs="Arial"/>
          <w:sz w:val="20"/>
        </w:rPr>
        <w:t xml:space="preserve"> was </w:t>
      </w:r>
      <w:r w:rsidRPr="00734230">
        <w:rPr>
          <w:rFonts w:cs="Arial"/>
          <w:sz w:val="20"/>
        </w:rPr>
        <w:t>aimed at gaining information on the respondents</w:t>
      </w:r>
      <w:r>
        <w:rPr>
          <w:rFonts w:cs="Arial"/>
          <w:sz w:val="20"/>
        </w:rPr>
        <w:t>’</w:t>
      </w:r>
      <w:r w:rsidRPr="00734230">
        <w:rPr>
          <w:rFonts w:cs="Arial"/>
          <w:sz w:val="20"/>
        </w:rPr>
        <w:t xml:space="preserve"> </w:t>
      </w:r>
      <w:r>
        <w:rPr>
          <w:rFonts w:cs="Arial"/>
          <w:sz w:val="20"/>
        </w:rPr>
        <w:t xml:space="preserve">familiarity with and activities undertaken in </w:t>
      </w:r>
      <w:proofErr w:type="spellStart"/>
      <w:r>
        <w:rPr>
          <w:rFonts w:cs="Arial"/>
          <w:sz w:val="20"/>
        </w:rPr>
        <w:t>Persina</w:t>
      </w:r>
      <w:proofErr w:type="spellEnd"/>
      <w:r w:rsidRPr="00734230">
        <w:rPr>
          <w:rFonts w:cs="Arial"/>
          <w:sz w:val="20"/>
        </w:rPr>
        <w:t>.</w:t>
      </w:r>
      <w:r>
        <w:rPr>
          <w:rFonts w:cs="Arial"/>
          <w:sz w:val="20"/>
        </w:rPr>
        <w:t xml:space="preserve"> In t</w:t>
      </w:r>
      <w:r w:rsidRPr="00734230">
        <w:rPr>
          <w:rFonts w:cs="Arial"/>
          <w:sz w:val="20"/>
        </w:rPr>
        <w:t>he second part</w:t>
      </w:r>
      <w:r>
        <w:rPr>
          <w:rFonts w:cs="Arial"/>
          <w:sz w:val="20"/>
        </w:rPr>
        <w:t xml:space="preserve"> we asked respondents which</w:t>
      </w:r>
      <w:r w:rsidRPr="00734230">
        <w:rPr>
          <w:rFonts w:cs="Arial"/>
          <w:sz w:val="20"/>
        </w:rPr>
        <w:t xml:space="preserve"> </w:t>
      </w:r>
      <w:r>
        <w:rPr>
          <w:rFonts w:cs="Arial"/>
          <w:sz w:val="20"/>
        </w:rPr>
        <w:t>ESs</w:t>
      </w:r>
      <w:r w:rsidRPr="00734230">
        <w:rPr>
          <w:rFonts w:cs="Arial"/>
          <w:sz w:val="20"/>
        </w:rPr>
        <w:t xml:space="preserve"> </w:t>
      </w:r>
      <w:r>
        <w:rPr>
          <w:rFonts w:cs="Arial"/>
          <w:sz w:val="20"/>
        </w:rPr>
        <w:t xml:space="preserve">they thought were provided by </w:t>
      </w:r>
      <w:proofErr w:type="spellStart"/>
      <w:r>
        <w:rPr>
          <w:rFonts w:cs="Arial"/>
          <w:sz w:val="20"/>
        </w:rPr>
        <w:t>Persina</w:t>
      </w:r>
      <w:proofErr w:type="spellEnd"/>
      <w:r>
        <w:rPr>
          <w:rFonts w:cs="Arial"/>
          <w:sz w:val="20"/>
        </w:rPr>
        <w:t xml:space="preserve"> and asked them to indicate which wetland type were related to these ESs.</w:t>
      </w:r>
      <w:r w:rsidRPr="00734230">
        <w:rPr>
          <w:rFonts w:cs="Arial"/>
          <w:sz w:val="20"/>
        </w:rPr>
        <w:t xml:space="preserve"> </w:t>
      </w:r>
      <w:r>
        <w:rPr>
          <w:rFonts w:cs="Arial"/>
          <w:sz w:val="20"/>
        </w:rPr>
        <w:t>We used</w:t>
      </w:r>
      <w:r w:rsidRPr="00734230">
        <w:rPr>
          <w:rFonts w:cs="Arial"/>
          <w:sz w:val="20"/>
        </w:rPr>
        <w:t xml:space="preserve"> pictograms</w:t>
      </w:r>
      <w:r>
        <w:rPr>
          <w:rFonts w:cs="Arial"/>
          <w:sz w:val="20"/>
        </w:rPr>
        <w:t xml:space="preserve"> that visualized the ESs to avoid scientific terminology</w:t>
      </w:r>
      <w:r w:rsidRPr="00734230">
        <w:rPr>
          <w:rFonts w:cs="Arial"/>
          <w:sz w:val="20"/>
        </w:rPr>
        <w:t xml:space="preserve"> (. Each respondent </w:t>
      </w:r>
      <w:r>
        <w:rPr>
          <w:rFonts w:cs="Arial"/>
          <w:sz w:val="20"/>
        </w:rPr>
        <w:t>had</w:t>
      </w:r>
      <w:r w:rsidRPr="00734230">
        <w:rPr>
          <w:rFonts w:cs="Arial"/>
          <w:sz w:val="20"/>
        </w:rPr>
        <w:t xml:space="preserve"> to choose a maximum of 5 </w:t>
      </w:r>
      <w:r>
        <w:rPr>
          <w:rFonts w:cs="Arial"/>
          <w:sz w:val="20"/>
        </w:rPr>
        <w:t xml:space="preserve">ESs that </w:t>
      </w:r>
      <w:r w:rsidRPr="00734230">
        <w:rPr>
          <w:rFonts w:cs="Arial"/>
          <w:sz w:val="20"/>
        </w:rPr>
        <w:t xml:space="preserve">they thought </w:t>
      </w:r>
      <w:r>
        <w:rPr>
          <w:rFonts w:cs="Arial"/>
          <w:sz w:val="20"/>
        </w:rPr>
        <w:t xml:space="preserve">were </w:t>
      </w:r>
      <w:r w:rsidRPr="00734230">
        <w:rPr>
          <w:rFonts w:cs="Arial"/>
          <w:sz w:val="20"/>
        </w:rPr>
        <w:t xml:space="preserve">supplied by (a) </w:t>
      </w:r>
      <w:proofErr w:type="spellStart"/>
      <w:r w:rsidRPr="00734230">
        <w:rPr>
          <w:rFonts w:cs="Arial"/>
          <w:sz w:val="20"/>
        </w:rPr>
        <w:t>Persina</w:t>
      </w:r>
      <w:proofErr w:type="spellEnd"/>
      <w:r w:rsidRPr="00734230">
        <w:rPr>
          <w:rFonts w:cs="Arial"/>
          <w:sz w:val="20"/>
        </w:rPr>
        <w:t xml:space="preserve"> in general, (b) riparian forests, (c), marshes and (d) meadows. The different </w:t>
      </w:r>
      <w:r>
        <w:rPr>
          <w:rFonts w:cs="Arial"/>
          <w:sz w:val="20"/>
        </w:rPr>
        <w:t>wetland types</w:t>
      </w:r>
      <w:r w:rsidRPr="00734230">
        <w:rPr>
          <w:rFonts w:cs="Arial"/>
          <w:sz w:val="20"/>
        </w:rPr>
        <w:t xml:space="preserve"> were </w:t>
      </w:r>
      <w:r>
        <w:rPr>
          <w:rFonts w:cs="Arial"/>
          <w:sz w:val="20"/>
        </w:rPr>
        <w:t xml:space="preserve">each </w:t>
      </w:r>
      <w:r w:rsidRPr="00734230">
        <w:rPr>
          <w:rFonts w:cs="Arial"/>
          <w:sz w:val="20"/>
        </w:rPr>
        <w:t>represented by</w:t>
      </w:r>
      <w:r>
        <w:rPr>
          <w:rFonts w:cs="Arial"/>
          <w:sz w:val="20"/>
        </w:rPr>
        <w:t xml:space="preserve"> 2</w:t>
      </w:r>
      <w:r w:rsidRPr="00734230">
        <w:rPr>
          <w:rFonts w:cs="Arial"/>
          <w:sz w:val="20"/>
        </w:rPr>
        <w:t xml:space="preserve"> phot</w:t>
      </w:r>
      <w:r>
        <w:rPr>
          <w:rFonts w:cs="Arial"/>
          <w:sz w:val="20"/>
        </w:rPr>
        <w:t>os (see supplementary material)</w:t>
      </w:r>
      <w:r w:rsidRPr="00734230">
        <w:rPr>
          <w:rFonts w:cs="Arial"/>
          <w:sz w:val="20"/>
        </w:rPr>
        <w:t xml:space="preserve">. </w:t>
      </w:r>
      <w:r>
        <w:rPr>
          <w:rFonts w:cs="Arial"/>
          <w:sz w:val="20"/>
        </w:rPr>
        <w:t>We also</w:t>
      </w:r>
      <w:r w:rsidRPr="00734230">
        <w:rPr>
          <w:rFonts w:cs="Arial"/>
          <w:sz w:val="20"/>
        </w:rPr>
        <w:t xml:space="preserve"> asked </w:t>
      </w:r>
      <w:r>
        <w:rPr>
          <w:rFonts w:cs="Arial"/>
          <w:sz w:val="20"/>
        </w:rPr>
        <w:t xml:space="preserve">respondents </w:t>
      </w:r>
      <w:r w:rsidRPr="00734230">
        <w:rPr>
          <w:rFonts w:cs="Arial"/>
          <w:sz w:val="20"/>
        </w:rPr>
        <w:t xml:space="preserve">whether they could think of any other benefits </w:t>
      </w:r>
      <w:r>
        <w:rPr>
          <w:rFonts w:cs="Arial"/>
          <w:sz w:val="20"/>
        </w:rPr>
        <w:t>that was not depicted on the cards</w:t>
      </w:r>
      <w:r w:rsidRPr="00734230">
        <w:rPr>
          <w:rFonts w:cs="Arial"/>
          <w:sz w:val="20"/>
        </w:rPr>
        <w:t xml:space="preserve">. In addition </w:t>
      </w:r>
      <w:r>
        <w:rPr>
          <w:rFonts w:cs="Arial"/>
          <w:sz w:val="20"/>
        </w:rPr>
        <w:t>we asked the respondents if they</w:t>
      </w:r>
      <w:r w:rsidRPr="00734230">
        <w:rPr>
          <w:rFonts w:cs="Arial"/>
          <w:sz w:val="20"/>
        </w:rPr>
        <w:t xml:space="preserve"> had any negative associations</w:t>
      </w:r>
      <w:r>
        <w:rPr>
          <w:rFonts w:cs="Arial"/>
          <w:sz w:val="20"/>
        </w:rPr>
        <w:t xml:space="preserve"> and</w:t>
      </w:r>
      <w:r w:rsidRPr="00734230">
        <w:rPr>
          <w:rFonts w:cs="Arial"/>
          <w:sz w:val="20"/>
        </w:rPr>
        <w:t xml:space="preserve"> </w:t>
      </w:r>
      <w:r>
        <w:rPr>
          <w:rFonts w:cs="Arial"/>
          <w:sz w:val="20"/>
        </w:rPr>
        <w:t xml:space="preserve">if so, to </w:t>
      </w:r>
      <w:r w:rsidRPr="00734230">
        <w:rPr>
          <w:rFonts w:cs="Arial"/>
          <w:sz w:val="20"/>
        </w:rPr>
        <w:t xml:space="preserve">specify </w:t>
      </w:r>
      <w:r>
        <w:rPr>
          <w:rFonts w:cs="Arial"/>
          <w:sz w:val="20"/>
        </w:rPr>
        <w:t>them.</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sidRPr="00734230">
        <w:rPr>
          <w:rFonts w:cs="Arial"/>
          <w:sz w:val="20"/>
        </w:rPr>
        <w:t xml:space="preserve">In the third part of the </w:t>
      </w:r>
      <w:r>
        <w:rPr>
          <w:rFonts w:cs="Arial"/>
          <w:sz w:val="20"/>
        </w:rPr>
        <w:t>questionnaire,</w:t>
      </w:r>
      <w:r w:rsidRPr="00734230">
        <w:rPr>
          <w:rFonts w:cs="Arial"/>
          <w:sz w:val="20"/>
        </w:rPr>
        <w:t xml:space="preserve"> respondents </w:t>
      </w:r>
      <w:r>
        <w:rPr>
          <w:rFonts w:cs="Arial"/>
          <w:sz w:val="20"/>
        </w:rPr>
        <w:t>had to choose</w:t>
      </w:r>
      <w:r w:rsidRPr="00734230">
        <w:rPr>
          <w:rFonts w:cs="Arial"/>
          <w:sz w:val="20"/>
        </w:rPr>
        <w:t xml:space="preserve"> a maximum of </w:t>
      </w:r>
      <w:r>
        <w:rPr>
          <w:rFonts w:cs="Arial"/>
          <w:sz w:val="20"/>
        </w:rPr>
        <w:t>5</w:t>
      </w:r>
      <w:r w:rsidRPr="00734230">
        <w:rPr>
          <w:rFonts w:cs="Arial"/>
          <w:sz w:val="20"/>
        </w:rPr>
        <w:t xml:space="preserve"> </w:t>
      </w:r>
      <w:r>
        <w:rPr>
          <w:rFonts w:cs="Arial"/>
          <w:sz w:val="20"/>
        </w:rPr>
        <w:t>ESs</w:t>
      </w:r>
      <w:r w:rsidRPr="00743E4E">
        <w:rPr>
          <w:rFonts w:cs="Arial"/>
          <w:sz w:val="20"/>
        </w:rPr>
        <w:t xml:space="preserve"> </w:t>
      </w:r>
      <w:r>
        <w:rPr>
          <w:rFonts w:cs="Arial"/>
          <w:sz w:val="20"/>
        </w:rPr>
        <w:t>that</w:t>
      </w:r>
      <w:r w:rsidRPr="00734230">
        <w:rPr>
          <w:rFonts w:cs="Arial"/>
          <w:sz w:val="20"/>
        </w:rPr>
        <w:t xml:space="preserve"> they thought were most important for their personal well-being</w:t>
      </w:r>
      <w:r>
        <w:rPr>
          <w:rFonts w:cs="Arial"/>
          <w:sz w:val="20"/>
        </w:rPr>
        <w:t xml:space="preserve"> (i.e., self-oriented values) and for the well-being of all people living in </w:t>
      </w:r>
      <w:proofErr w:type="spellStart"/>
      <w:r>
        <w:rPr>
          <w:rFonts w:cs="Arial"/>
          <w:sz w:val="20"/>
        </w:rPr>
        <w:t>Persina</w:t>
      </w:r>
      <w:proofErr w:type="spellEnd"/>
      <w:r>
        <w:rPr>
          <w:rFonts w:cs="Arial"/>
          <w:sz w:val="20"/>
        </w:rPr>
        <w:t xml:space="preserve"> (i.e., other-oriented values)</w:t>
      </w:r>
      <w:r w:rsidRPr="00734230">
        <w:rPr>
          <w:rFonts w:cs="Arial"/>
          <w:sz w:val="20"/>
        </w:rPr>
        <w:t xml:space="preserve">, assuming that all could be supplied by </w:t>
      </w:r>
      <w:proofErr w:type="spellStart"/>
      <w:r w:rsidRPr="00734230">
        <w:rPr>
          <w:rFonts w:cs="Arial"/>
          <w:sz w:val="20"/>
        </w:rPr>
        <w:t>Persina</w:t>
      </w:r>
      <w:proofErr w:type="spellEnd"/>
      <w:r>
        <w:rPr>
          <w:rFonts w:cs="Arial"/>
          <w:sz w:val="20"/>
        </w:rPr>
        <w:t>.</w:t>
      </w:r>
      <w:r w:rsidRPr="00734230">
        <w:rPr>
          <w:rFonts w:cs="Arial"/>
          <w:sz w:val="20"/>
        </w:rPr>
        <w:t xml:space="preserve">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In the fourth part of the questionnaire, we tested specific</w:t>
      </w:r>
      <w:r w:rsidRPr="00734230">
        <w:rPr>
          <w:rFonts w:cs="Arial"/>
          <w:sz w:val="20"/>
        </w:rPr>
        <w:t xml:space="preserve"> attitude</w:t>
      </w:r>
      <w:r>
        <w:rPr>
          <w:rFonts w:cs="Arial"/>
          <w:sz w:val="20"/>
        </w:rPr>
        <w:t>s</w:t>
      </w:r>
      <w:r w:rsidRPr="00734230">
        <w:rPr>
          <w:rFonts w:cs="Arial"/>
          <w:sz w:val="20"/>
        </w:rPr>
        <w:t xml:space="preserve"> </w:t>
      </w:r>
      <w:r>
        <w:rPr>
          <w:rFonts w:cs="Arial"/>
          <w:sz w:val="20"/>
        </w:rPr>
        <w:t>towards</w:t>
      </w:r>
      <w:r w:rsidRPr="00734230">
        <w:rPr>
          <w:rFonts w:cs="Arial"/>
          <w:sz w:val="20"/>
        </w:rPr>
        <w:t xml:space="preserve"> wetland restoration </w:t>
      </w:r>
      <w:r>
        <w:rPr>
          <w:rFonts w:cs="Arial"/>
          <w:sz w:val="20"/>
        </w:rPr>
        <w:t>. We first showed respondents a map</w:t>
      </w:r>
      <w:r w:rsidRPr="00734230">
        <w:rPr>
          <w:rFonts w:cs="Arial"/>
          <w:sz w:val="20"/>
        </w:rPr>
        <w:t xml:space="preserve"> </w:t>
      </w:r>
      <w:r>
        <w:rPr>
          <w:rFonts w:cs="Arial"/>
          <w:sz w:val="20"/>
        </w:rPr>
        <w:t xml:space="preserve">of </w:t>
      </w:r>
      <w:proofErr w:type="spellStart"/>
      <w:r>
        <w:rPr>
          <w:rFonts w:cs="Arial"/>
          <w:sz w:val="20"/>
        </w:rPr>
        <w:t>Persina</w:t>
      </w:r>
      <w:proofErr w:type="spellEnd"/>
      <w:r>
        <w:rPr>
          <w:rFonts w:cs="Arial"/>
          <w:sz w:val="20"/>
        </w:rPr>
        <w:t xml:space="preserve"> and asked r</w:t>
      </w:r>
      <w:r w:rsidRPr="00734230">
        <w:rPr>
          <w:rFonts w:cs="Arial"/>
          <w:sz w:val="20"/>
        </w:rPr>
        <w:t>espondents whether they were aware of th</w:t>
      </w:r>
      <w:r>
        <w:rPr>
          <w:rFonts w:cs="Arial"/>
          <w:sz w:val="20"/>
        </w:rPr>
        <w:t>ese wetland</w:t>
      </w:r>
      <w:r w:rsidRPr="00734230">
        <w:rPr>
          <w:rFonts w:cs="Arial"/>
          <w:sz w:val="20"/>
        </w:rPr>
        <w:t xml:space="preserve"> restoration project</w:t>
      </w:r>
      <w:r>
        <w:rPr>
          <w:rFonts w:cs="Arial"/>
          <w:sz w:val="20"/>
        </w:rPr>
        <w:t>s.</w:t>
      </w:r>
      <w:r w:rsidRPr="00734230">
        <w:rPr>
          <w:rFonts w:cs="Arial"/>
          <w:sz w:val="20"/>
        </w:rPr>
        <w:t xml:space="preserve"> </w:t>
      </w:r>
      <w:r>
        <w:rPr>
          <w:rFonts w:cs="Arial"/>
          <w:sz w:val="20"/>
        </w:rPr>
        <w:t>Respondents also had to evaluate</w:t>
      </w:r>
      <w:r w:rsidRPr="00734230">
        <w:rPr>
          <w:rFonts w:cs="Arial"/>
          <w:sz w:val="20"/>
        </w:rPr>
        <w:t xml:space="preserve"> 7 statements about wetland restoration in </w:t>
      </w:r>
      <w:proofErr w:type="spellStart"/>
      <w:r w:rsidRPr="00734230">
        <w:rPr>
          <w:rFonts w:cs="Arial"/>
          <w:sz w:val="20"/>
        </w:rPr>
        <w:t>Persina</w:t>
      </w:r>
      <w:proofErr w:type="spellEnd"/>
      <w:r>
        <w:rPr>
          <w:rFonts w:cs="Arial"/>
          <w:sz w:val="20"/>
        </w:rPr>
        <w:t xml:space="preserve"> which </w:t>
      </w:r>
      <w:r w:rsidRPr="00734230">
        <w:rPr>
          <w:rFonts w:cs="Arial"/>
          <w:sz w:val="20"/>
        </w:rPr>
        <w:t xml:space="preserve">were evaluated using a 3-point </w:t>
      </w:r>
      <w:r>
        <w:rPr>
          <w:rFonts w:cs="Arial"/>
          <w:sz w:val="20"/>
        </w:rPr>
        <w:t>Likert scale. In the final part of the questionnaire, respondents were asked to provide information regarding their age, place of residence, occupation, income and education.</w:t>
      </w:r>
    </w:p>
    <w:p w:rsidR="003F789A" w:rsidRDefault="003F789A" w:rsidP="00E55058">
      <w:pPr>
        <w:pStyle w:val="ListParagraph"/>
        <w:tabs>
          <w:tab w:val="left" w:pos="880"/>
        </w:tabs>
        <w:ind w:left="0"/>
        <w:rPr>
          <w:rFonts w:ascii="Arial" w:hAnsi="Arial" w:cs="Arial"/>
          <w:color w:val="333333"/>
          <w:sz w:val="20"/>
          <w:szCs w:val="20"/>
          <w:lang w:val="en-GB" w:eastAsia="en-GB"/>
        </w:rPr>
      </w:pPr>
    </w:p>
    <w:p w:rsidR="003F789A" w:rsidRPr="006D566F" w:rsidRDefault="003F789A" w:rsidP="00E55058">
      <w:pPr>
        <w:pStyle w:val="ListParagraph"/>
        <w:tabs>
          <w:tab w:val="left" w:pos="880"/>
        </w:tabs>
        <w:ind w:left="0"/>
        <w:rPr>
          <w:rFonts w:ascii="Arial" w:hAnsi="Arial" w:cs="Arial"/>
          <w:b/>
          <w:sz w:val="20"/>
          <w:szCs w:val="20"/>
        </w:rPr>
      </w:pPr>
      <w:r w:rsidRPr="006D566F">
        <w:rPr>
          <w:rFonts w:ascii="Arial" w:hAnsi="Arial" w:cs="Arial"/>
          <w:b/>
          <w:sz w:val="20"/>
          <w:szCs w:val="20"/>
        </w:rPr>
        <w:t>Data analysis</w:t>
      </w:r>
    </w:p>
    <w:p w:rsidR="003F789A" w:rsidRDefault="003F789A" w:rsidP="00E55058">
      <w:pPr>
        <w:tabs>
          <w:tab w:val="left" w:pos="880"/>
        </w:tabs>
        <w:spacing w:after="0" w:line="360" w:lineRule="auto"/>
        <w:rPr>
          <w:rFonts w:cs="Arial"/>
          <w:sz w:val="20"/>
        </w:rPr>
      </w:pPr>
      <w:r>
        <w:rPr>
          <w:rFonts w:cs="Arial"/>
          <w:sz w:val="20"/>
        </w:rPr>
        <w:t xml:space="preserve">We first </w:t>
      </w:r>
      <w:r w:rsidRPr="00734230">
        <w:rPr>
          <w:rFonts w:cs="Arial"/>
          <w:sz w:val="20"/>
        </w:rPr>
        <w:t>define</w:t>
      </w:r>
      <w:r>
        <w:rPr>
          <w:rFonts w:cs="Arial"/>
          <w:sz w:val="20"/>
        </w:rPr>
        <w:t>d</w:t>
      </w:r>
      <w:r w:rsidRPr="00734230">
        <w:rPr>
          <w:rFonts w:cs="Arial"/>
          <w:sz w:val="20"/>
        </w:rPr>
        <w:t xml:space="preserve"> multi-response se</w:t>
      </w:r>
      <w:r>
        <w:rPr>
          <w:rFonts w:cs="Arial"/>
          <w:sz w:val="20"/>
        </w:rPr>
        <w:t>ts</w:t>
      </w:r>
      <w:r w:rsidRPr="00734230">
        <w:rPr>
          <w:rFonts w:cs="Arial"/>
          <w:sz w:val="20"/>
        </w:rPr>
        <w:t xml:space="preserve"> for the </w:t>
      </w:r>
      <w:r>
        <w:rPr>
          <w:rFonts w:cs="Arial"/>
          <w:sz w:val="20"/>
        </w:rPr>
        <w:t xml:space="preserve">awareness and valuation variables. </w:t>
      </w:r>
      <w:r w:rsidRPr="00734230">
        <w:rPr>
          <w:rFonts w:cs="Arial"/>
          <w:sz w:val="20"/>
        </w:rPr>
        <w:t>The multi-response sets were consequently used for further analysis</w:t>
      </w:r>
      <w:r>
        <w:rPr>
          <w:rFonts w:cs="Arial"/>
          <w:sz w:val="20"/>
        </w:rPr>
        <w:t xml:space="preserve"> by calculating frequency tables and </w:t>
      </w:r>
      <w:r w:rsidRPr="00734230">
        <w:rPr>
          <w:rFonts w:cs="Arial"/>
          <w:sz w:val="20"/>
        </w:rPr>
        <w:t>chi-square</w:t>
      </w:r>
      <w:r>
        <w:rPr>
          <w:rFonts w:cs="Arial"/>
          <w:sz w:val="20"/>
        </w:rPr>
        <w:t xml:space="preserve"> statistics to </w:t>
      </w:r>
      <w:r w:rsidRPr="00734230">
        <w:rPr>
          <w:rFonts w:cs="Arial"/>
          <w:sz w:val="20"/>
        </w:rPr>
        <w:t>analy</w:t>
      </w:r>
      <w:r>
        <w:rPr>
          <w:rFonts w:cs="Arial"/>
          <w:sz w:val="20"/>
        </w:rPr>
        <w:t>s</w:t>
      </w:r>
      <w:r w:rsidRPr="00734230">
        <w:rPr>
          <w:rFonts w:cs="Arial"/>
          <w:sz w:val="20"/>
        </w:rPr>
        <w:t>e difference</w:t>
      </w:r>
      <w:r>
        <w:rPr>
          <w:rFonts w:cs="Arial"/>
          <w:sz w:val="20"/>
        </w:rPr>
        <w:t>s</w:t>
      </w:r>
      <w:r w:rsidRPr="00734230">
        <w:rPr>
          <w:rFonts w:cs="Arial"/>
          <w:sz w:val="20"/>
        </w:rPr>
        <w:t xml:space="preserve"> between </w:t>
      </w:r>
      <w:r>
        <w:rPr>
          <w:rFonts w:cs="Arial"/>
          <w:sz w:val="20"/>
        </w:rPr>
        <w:t>user groups and their awareness of the ESs supplied by the different wetland types</w:t>
      </w:r>
      <w:r w:rsidRPr="00734230">
        <w:rPr>
          <w:rFonts w:cs="Arial"/>
          <w:sz w:val="20"/>
        </w:rPr>
        <w:t xml:space="preserve">. </w:t>
      </w:r>
      <w:r>
        <w:rPr>
          <w:rFonts w:cs="Arial"/>
          <w:sz w:val="20"/>
        </w:rPr>
        <w:t xml:space="preserve">To link ES values to attitudes towards wetland restoration we calculated a variable to reflect how many ESs in each ES category, i.e. cultural, provisioning and regulating, the respondent had mentioned. Since the amount of services was not equal in all three ES categories, we corrected the value of each variable by dividing the amount of mentioned ESs by the total amount of </w:t>
      </w:r>
      <w:r>
        <w:rPr>
          <w:rFonts w:cs="Arial"/>
          <w:sz w:val="20"/>
        </w:rPr>
        <w:lastRenderedPageBreak/>
        <w:t xml:space="preserve">ESs in each category. For instance if a respondent had mentioned one regulating service, the value was 1 divided by 5, since 5 regulating services were considered. To each respondent we assigned a value for cultural ESs (CES), regulating ESs (RES), and Provisioning ESs (PES). Consequently, we standardized both the value variables and attitude variables and performed an exploratory principal component analysis (PCA) using a </w:t>
      </w:r>
      <w:proofErr w:type="spellStart"/>
      <w:r>
        <w:rPr>
          <w:rFonts w:cs="Arial"/>
          <w:sz w:val="20"/>
        </w:rPr>
        <w:t>Promax</w:t>
      </w:r>
      <w:proofErr w:type="spellEnd"/>
      <w:r>
        <w:rPr>
          <w:rFonts w:cs="Arial"/>
          <w:sz w:val="20"/>
        </w:rPr>
        <w:t xml:space="preserve"> rotation and applied the Kaiser criterion (eigenvalue &gt;1) to identify significant components. Finally, to identify how much each respondent within the user groups could be associated with each component, we created scatter plots based on the component scores.</w:t>
      </w:r>
    </w:p>
    <w:p w:rsidR="003F789A" w:rsidRPr="00D25600" w:rsidRDefault="003F789A" w:rsidP="00E55058">
      <w:pPr>
        <w:tabs>
          <w:tab w:val="left" w:pos="880"/>
        </w:tabs>
        <w:spacing w:after="0" w:line="360" w:lineRule="auto"/>
        <w:ind w:firstLine="360"/>
        <w:rPr>
          <w:rFonts w:cs="Arial"/>
          <w:sz w:val="20"/>
        </w:rPr>
      </w:pPr>
    </w:p>
    <w:p w:rsidR="003F789A" w:rsidRDefault="003F789A" w:rsidP="006D566F">
      <w:pPr>
        <w:pStyle w:val="Heading3"/>
        <w:numPr>
          <w:ilvl w:val="2"/>
          <w:numId w:val="43"/>
        </w:numPr>
        <w:tabs>
          <w:tab w:val="left" w:pos="880"/>
        </w:tabs>
      </w:pPr>
      <w:bookmarkStart w:id="149" w:name="_Toc436757162"/>
      <w:bookmarkStart w:id="150" w:name="_Toc436758101"/>
      <w:r>
        <w:t xml:space="preserve"> </w:t>
      </w:r>
      <w:bookmarkStart w:id="151" w:name="_Toc436915636"/>
      <w:bookmarkStart w:id="152" w:name="_Toc436916075"/>
      <w:r w:rsidRPr="0038694D">
        <w:t>Results</w:t>
      </w:r>
      <w:bookmarkEnd w:id="149"/>
      <w:bookmarkEnd w:id="150"/>
      <w:bookmarkEnd w:id="151"/>
      <w:bookmarkEnd w:id="152"/>
    </w:p>
    <w:p w:rsidR="003F789A" w:rsidRDefault="003F789A" w:rsidP="00E55058">
      <w:pPr>
        <w:tabs>
          <w:tab w:val="left" w:pos="880"/>
        </w:tabs>
        <w:spacing w:after="0" w:line="360" w:lineRule="auto"/>
        <w:rPr>
          <w:rFonts w:cs="Arial"/>
          <w:i/>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Use of ESs</w:t>
      </w:r>
    </w:p>
    <w:p w:rsidR="003F789A" w:rsidRPr="006D566F" w:rsidRDefault="003F789A" w:rsidP="00E55058">
      <w:pPr>
        <w:tabs>
          <w:tab w:val="left" w:pos="880"/>
        </w:tabs>
        <w:spacing w:after="0" w:line="360" w:lineRule="auto"/>
        <w:rPr>
          <w:rFonts w:cs="Arial"/>
          <w:b/>
          <w:i/>
          <w:sz w:val="20"/>
        </w:rPr>
      </w:pPr>
      <w:r w:rsidRPr="006D566F">
        <w:rPr>
          <w:rFonts w:cs="Arial"/>
          <w:b/>
          <w:i/>
          <w:sz w:val="20"/>
        </w:rPr>
        <w:t>Farming and fishing</w:t>
      </w:r>
    </w:p>
    <w:p w:rsidR="003F789A" w:rsidRDefault="003F789A" w:rsidP="00E55058">
      <w:pPr>
        <w:tabs>
          <w:tab w:val="left" w:pos="880"/>
        </w:tabs>
        <w:spacing w:after="0" w:line="360" w:lineRule="auto"/>
        <w:rPr>
          <w:rFonts w:cs="Arial"/>
          <w:i/>
          <w:sz w:val="20"/>
        </w:rPr>
      </w:pPr>
      <w:r>
        <w:rPr>
          <w:rFonts w:cs="Arial"/>
          <w:sz w:val="20"/>
        </w:rPr>
        <w:t xml:space="preserve">More than half of the farmers worked on a mixed farm, 27.3% worked on an animal farm and 21.2 % worked on a crop farm (Table 1). </w:t>
      </w:r>
      <w:r w:rsidRPr="00316C9D">
        <w:rPr>
          <w:rFonts w:cs="Arial"/>
          <w:sz w:val="20"/>
        </w:rPr>
        <w:t xml:space="preserve">The size of the farms differed </w:t>
      </w:r>
      <w:r>
        <w:rPr>
          <w:rFonts w:cs="Arial"/>
          <w:sz w:val="20"/>
        </w:rPr>
        <w:t>substantially,</w:t>
      </w:r>
      <w:r w:rsidRPr="00316C9D">
        <w:rPr>
          <w:rFonts w:cs="Arial"/>
          <w:sz w:val="20"/>
        </w:rPr>
        <w:t xml:space="preserve"> but animal farms were much smaller </w:t>
      </w:r>
      <w:r>
        <w:rPr>
          <w:rFonts w:cs="Arial"/>
          <w:sz w:val="20"/>
        </w:rPr>
        <w:t>(</w:t>
      </w:r>
      <w:r w:rsidRPr="00316C9D">
        <w:rPr>
          <w:rFonts w:cs="Arial"/>
          <w:sz w:val="20"/>
        </w:rPr>
        <w:t>0</w:t>
      </w:r>
      <w:r>
        <w:rPr>
          <w:rFonts w:cs="Arial"/>
          <w:sz w:val="20"/>
        </w:rPr>
        <w:t>.</w:t>
      </w:r>
      <w:r w:rsidRPr="00316C9D">
        <w:rPr>
          <w:rFonts w:cs="Arial"/>
          <w:sz w:val="20"/>
        </w:rPr>
        <w:t>5</w:t>
      </w:r>
      <w:r>
        <w:rPr>
          <w:rFonts w:cs="Arial"/>
          <w:sz w:val="20"/>
        </w:rPr>
        <w:t>-40 ha)</w:t>
      </w:r>
      <w:r w:rsidRPr="00316C9D">
        <w:rPr>
          <w:rFonts w:cs="Arial"/>
          <w:sz w:val="20"/>
        </w:rPr>
        <w:t xml:space="preserve"> than</w:t>
      </w:r>
      <w:r>
        <w:rPr>
          <w:rFonts w:cs="Arial"/>
          <w:sz w:val="20"/>
        </w:rPr>
        <w:t xml:space="preserve"> crop (2-400 ha)</w:t>
      </w:r>
      <w:r w:rsidRPr="00316C9D">
        <w:rPr>
          <w:rFonts w:cs="Arial"/>
          <w:sz w:val="20"/>
        </w:rPr>
        <w:t xml:space="preserve"> </w:t>
      </w:r>
      <w:r>
        <w:rPr>
          <w:rFonts w:cs="Arial"/>
          <w:sz w:val="20"/>
        </w:rPr>
        <w:t xml:space="preserve">and </w:t>
      </w:r>
      <w:r w:rsidRPr="00316C9D">
        <w:rPr>
          <w:rFonts w:cs="Arial"/>
          <w:sz w:val="20"/>
        </w:rPr>
        <w:t>mixed</w:t>
      </w:r>
      <w:r>
        <w:rPr>
          <w:rFonts w:cs="Arial"/>
          <w:sz w:val="20"/>
        </w:rPr>
        <w:t xml:space="preserve"> farms (1-1900 ha)</w:t>
      </w:r>
      <w:r w:rsidRPr="00316C9D">
        <w:rPr>
          <w:rFonts w:cs="Arial"/>
          <w:sz w:val="20"/>
        </w:rPr>
        <w:t xml:space="preserve">. The majority of the farmers (71%) worked on </w:t>
      </w:r>
      <w:r>
        <w:rPr>
          <w:rFonts w:cs="Arial"/>
          <w:sz w:val="20"/>
        </w:rPr>
        <w:t>farms</w:t>
      </w:r>
      <w:r w:rsidRPr="00316C9D">
        <w:rPr>
          <w:rFonts w:cs="Arial"/>
          <w:sz w:val="20"/>
        </w:rPr>
        <w:t xml:space="preserve"> smaller than 50 </w:t>
      </w:r>
      <w:r>
        <w:rPr>
          <w:rFonts w:cs="Arial"/>
          <w:sz w:val="20"/>
        </w:rPr>
        <w:t>ha</w:t>
      </w:r>
      <w:r w:rsidRPr="00316C9D">
        <w:rPr>
          <w:rFonts w:cs="Arial"/>
          <w:sz w:val="20"/>
        </w:rPr>
        <w:t xml:space="preserve"> which they owned, </w:t>
      </w:r>
      <w:r>
        <w:rPr>
          <w:rFonts w:cs="Arial"/>
          <w:sz w:val="20"/>
        </w:rPr>
        <w:t xml:space="preserve">partially leased or fully </w:t>
      </w:r>
      <w:r w:rsidRPr="00316C9D">
        <w:rPr>
          <w:rFonts w:cs="Arial"/>
          <w:sz w:val="20"/>
        </w:rPr>
        <w:t xml:space="preserve">leased. Farmers </w:t>
      </w:r>
      <w:r>
        <w:rPr>
          <w:rFonts w:cs="Arial"/>
          <w:sz w:val="20"/>
        </w:rPr>
        <w:t>working on</w:t>
      </w:r>
      <w:r w:rsidRPr="00316C9D">
        <w:rPr>
          <w:rFonts w:cs="Arial"/>
          <w:sz w:val="20"/>
        </w:rPr>
        <w:t xml:space="preserve"> lands ranging from 100 to 1000 </w:t>
      </w:r>
      <w:r>
        <w:rPr>
          <w:rFonts w:cs="Arial"/>
          <w:sz w:val="20"/>
        </w:rPr>
        <w:t>ha</w:t>
      </w:r>
      <w:r w:rsidRPr="00316C9D">
        <w:rPr>
          <w:rFonts w:cs="Arial"/>
          <w:sz w:val="20"/>
        </w:rPr>
        <w:t xml:space="preserve"> (20%) owned only a very small proportion of this land. </w:t>
      </w:r>
      <w:r>
        <w:rPr>
          <w:rFonts w:cs="Arial"/>
          <w:sz w:val="20"/>
        </w:rPr>
        <w:t xml:space="preserve">None of the fishermen said they could live entirely on fishing, and many had taken on other jobs to sustain their livelihoods. </w:t>
      </w:r>
    </w:p>
    <w:p w:rsidR="003F789A" w:rsidRDefault="003F789A" w:rsidP="00E55058">
      <w:pPr>
        <w:tabs>
          <w:tab w:val="left" w:pos="880"/>
        </w:tabs>
        <w:spacing w:after="0" w:line="360" w:lineRule="auto"/>
        <w:rPr>
          <w:rFonts w:cs="Arial"/>
          <w:i/>
          <w:sz w:val="20"/>
        </w:rPr>
      </w:pPr>
    </w:p>
    <w:p w:rsidR="003F789A" w:rsidRPr="006D566F" w:rsidRDefault="003F789A" w:rsidP="00E55058">
      <w:pPr>
        <w:tabs>
          <w:tab w:val="left" w:pos="880"/>
        </w:tabs>
        <w:spacing w:after="0" w:line="360" w:lineRule="auto"/>
        <w:rPr>
          <w:rFonts w:cs="Arial"/>
          <w:b/>
          <w:i/>
          <w:sz w:val="20"/>
        </w:rPr>
      </w:pPr>
      <w:r w:rsidRPr="006D566F">
        <w:rPr>
          <w:rFonts w:cs="Arial"/>
          <w:b/>
          <w:i/>
          <w:sz w:val="20"/>
        </w:rPr>
        <w:t xml:space="preserve">Visiting </w:t>
      </w:r>
      <w:proofErr w:type="spellStart"/>
      <w:r w:rsidRPr="006D566F">
        <w:rPr>
          <w:rFonts w:cs="Arial"/>
          <w:b/>
          <w:i/>
          <w:sz w:val="20"/>
        </w:rPr>
        <w:t>Persina</w:t>
      </w:r>
      <w:proofErr w:type="spellEnd"/>
    </w:p>
    <w:p w:rsidR="003F789A" w:rsidRDefault="003F789A" w:rsidP="00E55058">
      <w:pPr>
        <w:tabs>
          <w:tab w:val="left" w:pos="880"/>
        </w:tabs>
        <w:spacing w:after="0" w:line="360" w:lineRule="auto"/>
        <w:rPr>
          <w:rFonts w:cs="Arial"/>
          <w:sz w:val="20"/>
        </w:rPr>
      </w:pPr>
      <w:r>
        <w:rPr>
          <w:rFonts w:cs="Arial"/>
          <w:sz w:val="20"/>
        </w:rPr>
        <w:t xml:space="preserve">Of all respondents, 13.8% </w:t>
      </w:r>
      <w:r w:rsidRPr="00734230">
        <w:rPr>
          <w:rFonts w:cs="Arial"/>
          <w:sz w:val="20"/>
        </w:rPr>
        <w:t>never visit</w:t>
      </w:r>
      <w:r>
        <w:rPr>
          <w:rFonts w:cs="Arial"/>
          <w:sz w:val="20"/>
        </w:rPr>
        <w:t xml:space="preserve">ed </w:t>
      </w:r>
      <w:proofErr w:type="spellStart"/>
      <w:r w:rsidRPr="00734230">
        <w:rPr>
          <w:rFonts w:cs="Arial"/>
          <w:sz w:val="20"/>
        </w:rPr>
        <w:t>Persina</w:t>
      </w:r>
      <w:proofErr w:type="spellEnd"/>
      <w:r>
        <w:rPr>
          <w:rFonts w:cs="Arial"/>
          <w:sz w:val="20"/>
        </w:rPr>
        <w:t xml:space="preserve"> Nature Park, 16.7% had visited </w:t>
      </w:r>
      <w:proofErr w:type="spellStart"/>
      <w:r>
        <w:rPr>
          <w:rFonts w:cs="Arial"/>
          <w:sz w:val="20"/>
        </w:rPr>
        <w:t>Persina</w:t>
      </w:r>
      <w:proofErr w:type="spellEnd"/>
      <w:r>
        <w:rPr>
          <w:rFonts w:cs="Arial"/>
          <w:sz w:val="20"/>
        </w:rPr>
        <w:t xml:space="preserve"> once, 25.5</w:t>
      </w:r>
      <w:r w:rsidRPr="00734230">
        <w:rPr>
          <w:rFonts w:cs="Arial"/>
          <w:sz w:val="20"/>
        </w:rPr>
        <w:t xml:space="preserve">% </w:t>
      </w:r>
      <w:r>
        <w:rPr>
          <w:rFonts w:cs="Arial"/>
          <w:sz w:val="20"/>
        </w:rPr>
        <w:t xml:space="preserve">had </w:t>
      </w:r>
      <w:r w:rsidRPr="00734230">
        <w:rPr>
          <w:rFonts w:cs="Arial"/>
          <w:sz w:val="20"/>
        </w:rPr>
        <w:t xml:space="preserve">visited </w:t>
      </w:r>
      <w:proofErr w:type="spellStart"/>
      <w:r w:rsidRPr="00734230">
        <w:rPr>
          <w:rFonts w:cs="Arial"/>
          <w:sz w:val="20"/>
        </w:rPr>
        <w:t>Persina</w:t>
      </w:r>
      <w:proofErr w:type="spellEnd"/>
      <w:r w:rsidRPr="00734230">
        <w:rPr>
          <w:rFonts w:cs="Arial"/>
          <w:sz w:val="20"/>
        </w:rPr>
        <w:t xml:space="preserve"> a few times</w:t>
      </w:r>
      <w:r>
        <w:rPr>
          <w:rFonts w:cs="Arial"/>
          <w:sz w:val="20"/>
        </w:rPr>
        <w:t xml:space="preserve"> and 45.1</w:t>
      </w:r>
      <w:r w:rsidRPr="00734230">
        <w:rPr>
          <w:rFonts w:cs="Arial"/>
          <w:sz w:val="20"/>
        </w:rPr>
        <w:t xml:space="preserve">% visited </w:t>
      </w:r>
      <w:proofErr w:type="spellStart"/>
      <w:r w:rsidRPr="00734230">
        <w:rPr>
          <w:rFonts w:cs="Arial"/>
          <w:sz w:val="20"/>
        </w:rPr>
        <w:t>Persina</w:t>
      </w:r>
      <w:proofErr w:type="spellEnd"/>
      <w:r w:rsidRPr="00734230">
        <w:rPr>
          <w:rFonts w:cs="Arial"/>
          <w:sz w:val="20"/>
        </w:rPr>
        <w:t xml:space="preserve"> often. </w:t>
      </w:r>
      <w:r>
        <w:rPr>
          <w:rFonts w:cs="Arial"/>
          <w:sz w:val="20"/>
        </w:rPr>
        <w:t xml:space="preserve">Fishermen visited </w:t>
      </w:r>
      <w:proofErr w:type="spellStart"/>
      <w:r>
        <w:rPr>
          <w:rFonts w:cs="Arial"/>
          <w:sz w:val="20"/>
        </w:rPr>
        <w:t>Persina</w:t>
      </w:r>
      <w:proofErr w:type="spellEnd"/>
      <w:r>
        <w:rPr>
          <w:rFonts w:cs="Arial"/>
          <w:sz w:val="20"/>
        </w:rPr>
        <w:t xml:space="preserve"> most often outside work, while farmers visited less often. The most popular recreational activities was walking, although 7.8 percent of the respondents (only farmers and fishermen) also went hunting every now and then. Of all respondents, 24.6 % mentioned they went to </w:t>
      </w:r>
      <w:proofErr w:type="spellStart"/>
      <w:r>
        <w:rPr>
          <w:rFonts w:cs="Arial"/>
          <w:sz w:val="20"/>
        </w:rPr>
        <w:t>Persina</w:t>
      </w:r>
      <w:proofErr w:type="spellEnd"/>
      <w:r>
        <w:rPr>
          <w:rFonts w:cs="Arial"/>
          <w:sz w:val="20"/>
        </w:rPr>
        <w:t xml:space="preserve"> to collect food and/or materials. Four respondents mentioned they collected materials, mostly wood. Other respondents collected herbs and fruits (11.8 %) or fish (11.8 %). </w:t>
      </w:r>
    </w:p>
    <w:p w:rsidR="003F789A" w:rsidRDefault="003F789A" w:rsidP="00E55058">
      <w:pPr>
        <w:tabs>
          <w:tab w:val="left" w:pos="880"/>
        </w:tabs>
        <w:spacing w:after="0" w:line="360" w:lineRule="auto"/>
        <w:rPr>
          <w:rFonts w:cs="Arial"/>
          <w:sz w:val="20"/>
        </w:rPr>
      </w:pPr>
    </w:p>
    <w:p w:rsidR="003F789A" w:rsidRPr="00517655" w:rsidRDefault="003F789A" w:rsidP="00E55058">
      <w:pPr>
        <w:tabs>
          <w:tab w:val="left" w:pos="880"/>
        </w:tabs>
        <w:spacing w:after="0" w:line="360" w:lineRule="auto"/>
        <w:rPr>
          <w:rFonts w:cs="Arial"/>
          <w:sz w:val="18"/>
          <w:szCs w:val="18"/>
        </w:rPr>
      </w:pPr>
      <w:r w:rsidRPr="00517655">
        <w:rPr>
          <w:rFonts w:cs="Arial"/>
          <w:b/>
          <w:sz w:val="18"/>
          <w:szCs w:val="18"/>
        </w:rPr>
        <w:t>Table 1</w:t>
      </w:r>
      <w:r w:rsidRPr="00517655">
        <w:rPr>
          <w:rFonts w:cs="Arial"/>
          <w:sz w:val="18"/>
          <w:szCs w:val="18"/>
        </w:rPr>
        <w:t>. Use of ESs by different user groups. Values indicate percentages per user group.</w:t>
      </w:r>
    </w:p>
    <w:tbl>
      <w:tblPr>
        <w:tblW w:w="0" w:type="auto"/>
        <w:tblLook w:val="00A0" w:firstRow="1" w:lastRow="0" w:firstColumn="1" w:lastColumn="0" w:noHBand="0" w:noVBand="0"/>
      </w:tblPr>
      <w:tblGrid>
        <w:gridCol w:w="3589"/>
        <w:gridCol w:w="1006"/>
        <w:gridCol w:w="1256"/>
        <w:gridCol w:w="1232"/>
        <w:gridCol w:w="1232"/>
      </w:tblGrid>
      <w:tr w:rsidR="003F789A" w:rsidRPr="00963613" w:rsidTr="00130171">
        <w:trPr>
          <w:trHeight w:val="434"/>
        </w:trPr>
        <w:tc>
          <w:tcPr>
            <w:tcW w:w="3589" w:type="dxa"/>
            <w:tcBorders>
              <w:top w:val="single" w:sz="18" w:space="0" w:color="auto"/>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b/>
                <w:bCs/>
                <w:sz w:val="18"/>
                <w:szCs w:val="18"/>
              </w:rPr>
            </w:pPr>
          </w:p>
          <w:p w:rsidR="003F789A" w:rsidRPr="003835CE" w:rsidRDefault="003F789A" w:rsidP="00130171">
            <w:pPr>
              <w:tabs>
                <w:tab w:val="left" w:pos="880"/>
              </w:tabs>
              <w:spacing w:after="0" w:line="240" w:lineRule="auto"/>
              <w:jc w:val="center"/>
              <w:rPr>
                <w:rFonts w:cs="Arial"/>
                <w:b/>
                <w:bCs/>
                <w:sz w:val="18"/>
                <w:szCs w:val="18"/>
              </w:rPr>
            </w:pPr>
            <w:r w:rsidRPr="003835CE">
              <w:rPr>
                <w:rFonts w:cs="Arial"/>
                <w:b/>
                <w:bCs/>
                <w:sz w:val="18"/>
                <w:szCs w:val="18"/>
              </w:rPr>
              <w:t>Use of ESs</w:t>
            </w:r>
          </w:p>
        </w:tc>
        <w:tc>
          <w:tcPr>
            <w:tcW w:w="1006" w:type="dxa"/>
            <w:tcBorders>
              <w:top w:val="single" w:sz="18" w:space="0" w:color="auto"/>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b/>
                <w:bCs/>
                <w:sz w:val="18"/>
                <w:szCs w:val="18"/>
              </w:rPr>
            </w:pPr>
            <w:r w:rsidRPr="003835CE">
              <w:rPr>
                <w:rFonts w:cs="Arial"/>
                <w:b/>
                <w:bCs/>
                <w:sz w:val="18"/>
                <w:szCs w:val="18"/>
              </w:rPr>
              <w:t>Farmers</w:t>
            </w:r>
          </w:p>
          <w:p w:rsidR="003F789A" w:rsidRPr="003835CE" w:rsidRDefault="003F789A" w:rsidP="00130171">
            <w:pPr>
              <w:tabs>
                <w:tab w:val="left" w:pos="880"/>
              </w:tabs>
              <w:spacing w:after="0" w:line="240" w:lineRule="auto"/>
              <w:jc w:val="center"/>
              <w:rPr>
                <w:rFonts w:cs="Arial"/>
                <w:b/>
                <w:bCs/>
                <w:sz w:val="18"/>
                <w:szCs w:val="18"/>
              </w:rPr>
            </w:pPr>
            <w:r w:rsidRPr="003835CE">
              <w:rPr>
                <w:rFonts w:cs="Arial"/>
                <w:bCs/>
                <w:sz w:val="18"/>
                <w:szCs w:val="18"/>
              </w:rPr>
              <w:t>(n=33)</w:t>
            </w:r>
          </w:p>
        </w:tc>
        <w:tc>
          <w:tcPr>
            <w:tcW w:w="1256" w:type="dxa"/>
            <w:tcBorders>
              <w:top w:val="single" w:sz="18" w:space="0" w:color="auto"/>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b/>
                <w:bCs/>
                <w:sz w:val="18"/>
                <w:szCs w:val="18"/>
              </w:rPr>
            </w:pPr>
            <w:r w:rsidRPr="003835CE">
              <w:rPr>
                <w:rFonts w:cs="Arial"/>
                <w:b/>
                <w:bCs/>
                <w:sz w:val="18"/>
                <w:szCs w:val="18"/>
              </w:rPr>
              <w:t xml:space="preserve">Fishermen </w:t>
            </w:r>
            <w:r w:rsidRPr="003835CE">
              <w:rPr>
                <w:rFonts w:cs="Arial"/>
                <w:bCs/>
                <w:sz w:val="18"/>
                <w:szCs w:val="18"/>
              </w:rPr>
              <w:t>(n=24)</w:t>
            </w:r>
          </w:p>
        </w:tc>
        <w:tc>
          <w:tcPr>
            <w:tcW w:w="1232" w:type="dxa"/>
            <w:tcBorders>
              <w:top w:val="single" w:sz="18" w:space="0" w:color="auto"/>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b/>
                <w:bCs/>
                <w:sz w:val="18"/>
                <w:szCs w:val="18"/>
              </w:rPr>
            </w:pPr>
            <w:r w:rsidRPr="003835CE">
              <w:rPr>
                <w:rFonts w:cs="Arial"/>
                <w:b/>
                <w:bCs/>
                <w:sz w:val="18"/>
                <w:szCs w:val="18"/>
              </w:rPr>
              <w:t xml:space="preserve">Residents </w:t>
            </w:r>
            <w:r w:rsidRPr="003835CE">
              <w:rPr>
                <w:rFonts w:cs="Arial"/>
                <w:bCs/>
                <w:sz w:val="18"/>
                <w:szCs w:val="18"/>
              </w:rPr>
              <w:t>(n=45)</w:t>
            </w:r>
          </w:p>
        </w:tc>
        <w:tc>
          <w:tcPr>
            <w:tcW w:w="1232" w:type="dxa"/>
            <w:tcBorders>
              <w:top w:val="single" w:sz="18" w:space="0" w:color="auto"/>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b/>
                <w:bCs/>
                <w:sz w:val="18"/>
                <w:szCs w:val="18"/>
              </w:rPr>
            </w:pPr>
            <w:r w:rsidRPr="003835CE">
              <w:rPr>
                <w:rFonts w:cs="Arial"/>
                <w:b/>
                <w:bCs/>
                <w:sz w:val="18"/>
                <w:szCs w:val="18"/>
              </w:rPr>
              <w:t>Total</w:t>
            </w:r>
          </w:p>
          <w:p w:rsidR="003F789A" w:rsidRPr="003835CE" w:rsidRDefault="003F789A" w:rsidP="00130171">
            <w:pPr>
              <w:tabs>
                <w:tab w:val="left" w:pos="880"/>
              </w:tabs>
              <w:spacing w:after="0" w:line="240" w:lineRule="auto"/>
              <w:jc w:val="center"/>
              <w:rPr>
                <w:rFonts w:cs="Arial"/>
                <w:b/>
                <w:bCs/>
                <w:color w:val="58595B"/>
                <w:sz w:val="18"/>
                <w:szCs w:val="18"/>
              </w:rPr>
            </w:pPr>
            <w:r w:rsidRPr="003835CE">
              <w:rPr>
                <w:rFonts w:cs="Arial"/>
                <w:bCs/>
                <w:sz w:val="18"/>
                <w:szCs w:val="18"/>
              </w:rPr>
              <w:t>(n=102)</w:t>
            </w:r>
          </w:p>
        </w:tc>
      </w:tr>
      <w:tr w:rsidR="003F789A" w:rsidRPr="00963613" w:rsidTr="00130171">
        <w:tc>
          <w:tcPr>
            <w:tcW w:w="3589" w:type="dxa"/>
            <w:tcBorders>
              <w:top w:val="single" w:sz="18" w:space="0" w:color="auto"/>
            </w:tcBorders>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
                <w:bCs/>
                <w:sz w:val="18"/>
                <w:szCs w:val="18"/>
              </w:rPr>
              <w:t xml:space="preserve">Work </w:t>
            </w:r>
          </w:p>
        </w:tc>
        <w:tc>
          <w:tcPr>
            <w:tcW w:w="1006" w:type="dxa"/>
            <w:tcBorders>
              <w:top w:val="single" w:sz="18" w:space="0" w:color="auto"/>
            </w:tcBorders>
            <w:shd w:val="clear" w:color="auto" w:fill="FFFFFF"/>
          </w:tcPr>
          <w:p w:rsidR="003F789A" w:rsidRPr="003835CE" w:rsidRDefault="003F789A" w:rsidP="00130171">
            <w:pPr>
              <w:tabs>
                <w:tab w:val="left" w:pos="880"/>
              </w:tabs>
              <w:spacing w:after="0" w:line="240" w:lineRule="auto"/>
              <w:rPr>
                <w:rFonts w:cs="Arial"/>
                <w:sz w:val="18"/>
                <w:szCs w:val="18"/>
              </w:rPr>
            </w:pPr>
          </w:p>
        </w:tc>
        <w:tc>
          <w:tcPr>
            <w:tcW w:w="1256" w:type="dxa"/>
            <w:tcBorders>
              <w:top w:val="single" w:sz="18" w:space="0" w:color="auto"/>
            </w:tcBorders>
            <w:shd w:val="clear" w:color="auto" w:fill="FFFFFF"/>
          </w:tcPr>
          <w:p w:rsidR="003F789A" w:rsidRPr="003835CE" w:rsidRDefault="003F789A" w:rsidP="00130171">
            <w:pPr>
              <w:tabs>
                <w:tab w:val="left" w:pos="880"/>
              </w:tabs>
              <w:spacing w:after="0" w:line="240" w:lineRule="auto"/>
              <w:rPr>
                <w:rFonts w:cs="Arial"/>
                <w:sz w:val="18"/>
                <w:szCs w:val="18"/>
              </w:rPr>
            </w:pPr>
          </w:p>
        </w:tc>
        <w:tc>
          <w:tcPr>
            <w:tcW w:w="1232" w:type="dxa"/>
            <w:tcBorders>
              <w:top w:val="single" w:sz="18" w:space="0" w:color="auto"/>
            </w:tcBorders>
            <w:shd w:val="clear" w:color="auto" w:fill="FFFFFF"/>
          </w:tcPr>
          <w:p w:rsidR="003F789A" w:rsidRPr="003835CE" w:rsidRDefault="003F789A" w:rsidP="00130171">
            <w:pPr>
              <w:tabs>
                <w:tab w:val="left" w:pos="880"/>
              </w:tabs>
              <w:spacing w:after="0" w:line="240" w:lineRule="auto"/>
              <w:rPr>
                <w:rFonts w:cs="Arial"/>
                <w:sz w:val="18"/>
                <w:szCs w:val="18"/>
              </w:rPr>
            </w:pPr>
          </w:p>
        </w:tc>
        <w:tc>
          <w:tcPr>
            <w:tcW w:w="1232" w:type="dxa"/>
            <w:tcBorders>
              <w:top w:val="single" w:sz="18" w:space="0" w:color="auto"/>
            </w:tcBorders>
            <w:shd w:val="clear" w:color="auto" w:fill="FFFFFF"/>
          </w:tcPr>
          <w:p w:rsidR="003F789A" w:rsidRPr="003835CE" w:rsidRDefault="003F789A" w:rsidP="00130171">
            <w:pPr>
              <w:tabs>
                <w:tab w:val="left" w:pos="880"/>
              </w:tabs>
              <w:spacing w:after="0" w:line="240" w:lineRule="auto"/>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i/>
                <w:sz w:val="18"/>
                <w:szCs w:val="18"/>
              </w:rPr>
            </w:pPr>
            <w:r w:rsidRPr="003835CE">
              <w:rPr>
                <w:rFonts w:cs="Arial"/>
                <w:bCs/>
                <w:i/>
                <w:sz w:val="18"/>
                <w:szCs w:val="18"/>
              </w:rPr>
              <w:t xml:space="preserve">Type of farm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           Crop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21.2</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i/>
                <w:sz w:val="18"/>
                <w:szCs w:val="18"/>
              </w:rPr>
              <w:t xml:space="preserve">           </w:t>
            </w:r>
            <w:r w:rsidRPr="003835CE">
              <w:rPr>
                <w:rFonts w:cs="Arial"/>
                <w:bCs/>
                <w:sz w:val="18"/>
                <w:szCs w:val="18"/>
              </w:rPr>
              <w:t>Animal</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27.3</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i/>
                <w:sz w:val="18"/>
                <w:szCs w:val="18"/>
              </w:rPr>
              <w:t xml:space="preserve">          </w:t>
            </w:r>
            <w:r w:rsidRPr="003835CE">
              <w:rPr>
                <w:rFonts w:cs="Arial"/>
                <w:bCs/>
                <w:sz w:val="18"/>
                <w:szCs w:val="18"/>
              </w:rPr>
              <w:t xml:space="preserve"> Mixed</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54.5</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i/>
                <w:sz w:val="18"/>
                <w:szCs w:val="18"/>
              </w:rPr>
            </w:pP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i/>
                <w:sz w:val="18"/>
                <w:szCs w:val="18"/>
              </w:rPr>
            </w:pPr>
            <w:r w:rsidRPr="003835CE">
              <w:rPr>
                <w:rFonts w:cs="Arial"/>
                <w:bCs/>
                <w:i/>
                <w:sz w:val="18"/>
                <w:szCs w:val="18"/>
              </w:rPr>
              <w:t xml:space="preserve">Percentage of income dependent on farming/fishing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ind w:left="600"/>
              <w:rPr>
                <w:rFonts w:cs="Arial"/>
                <w:b/>
                <w:bCs/>
                <w:sz w:val="18"/>
                <w:szCs w:val="18"/>
              </w:rPr>
            </w:pPr>
            <w:r w:rsidRPr="003835CE">
              <w:rPr>
                <w:rFonts w:cs="Arial"/>
                <w:bCs/>
                <w:sz w:val="18"/>
                <w:szCs w:val="18"/>
              </w:rPr>
              <w:t>Less than half</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17.1</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56.0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           About half</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28.6</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20.0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           More than half</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17.1</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24.0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lastRenderedPageBreak/>
              <w:t xml:space="preserve">           All</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37.2</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rPr>
          <w:trHeight w:val="80"/>
        </w:trPr>
        <w:tc>
          <w:tcPr>
            <w:tcW w:w="3589" w:type="dxa"/>
            <w:tcBorders>
              <w:left w:val="nil"/>
              <w:bottom w:val="nil"/>
              <w:right w:val="nil"/>
            </w:tcBorders>
            <w:shd w:val="clear" w:color="auto" w:fill="FFFFFF"/>
          </w:tcPr>
          <w:p w:rsidR="003F789A" w:rsidRPr="003835CE" w:rsidRDefault="003F789A" w:rsidP="00130171">
            <w:pPr>
              <w:tabs>
                <w:tab w:val="left" w:pos="880"/>
              </w:tabs>
              <w:spacing w:after="0" w:line="240" w:lineRule="auto"/>
              <w:rPr>
                <w:rFonts w:cs="Arial"/>
                <w:b/>
                <w:bCs/>
                <w:color w:val="58595B"/>
                <w:sz w:val="18"/>
                <w:szCs w:val="18"/>
              </w:rPr>
            </w:pPr>
          </w:p>
        </w:tc>
        <w:tc>
          <w:tcPr>
            <w:tcW w:w="100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rPr>
          <w:trHeight w:val="80"/>
        </w:trPr>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
                <w:bCs/>
                <w:sz w:val="18"/>
                <w:szCs w:val="18"/>
              </w:rPr>
              <w:t xml:space="preserve">Recreation &amp; collection of food/materials </w:t>
            </w:r>
          </w:p>
          <w:p w:rsidR="003F789A" w:rsidRPr="003835CE" w:rsidRDefault="003F789A" w:rsidP="00130171">
            <w:pPr>
              <w:tabs>
                <w:tab w:val="left" w:pos="880"/>
              </w:tabs>
              <w:spacing w:after="0" w:line="240" w:lineRule="auto"/>
              <w:rPr>
                <w:rFonts w:cs="Arial"/>
                <w:b/>
                <w:bCs/>
                <w:sz w:val="18"/>
                <w:szCs w:val="18"/>
              </w:rPr>
            </w:pP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Visit </w:t>
            </w:r>
            <w:proofErr w:type="spellStart"/>
            <w:r w:rsidRPr="003835CE">
              <w:rPr>
                <w:rFonts w:cs="Arial"/>
                <w:bCs/>
                <w:sz w:val="18"/>
                <w:szCs w:val="18"/>
              </w:rPr>
              <w:t>Persina</w:t>
            </w:r>
            <w:proofErr w:type="spellEnd"/>
            <w:r w:rsidRPr="003835CE">
              <w:rPr>
                <w:rFonts w:cs="Arial"/>
                <w:bCs/>
                <w:sz w:val="18"/>
                <w:szCs w:val="18"/>
              </w:rPr>
              <w:t xml:space="preserve"> Nature Park outside work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81.8</w:t>
            </w:r>
          </w:p>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100</w:t>
            </w:r>
          </w:p>
          <w:p w:rsidR="003F789A" w:rsidRPr="003835CE" w:rsidRDefault="003F789A" w:rsidP="00130171">
            <w:pPr>
              <w:tabs>
                <w:tab w:val="left" w:pos="880"/>
              </w:tabs>
              <w:spacing w:after="0" w:line="240" w:lineRule="auto"/>
              <w:jc w:val="center"/>
              <w:rPr>
                <w:rFonts w:cs="Arial"/>
                <w:sz w:val="18"/>
                <w:szCs w:val="18"/>
              </w:rPr>
            </w:pPr>
          </w:p>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84.4</w:t>
            </w:r>
          </w:p>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87.2</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               Once</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15.2</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16.7</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17.8</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16.7</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color w:val="58595B"/>
                <w:sz w:val="18"/>
                <w:szCs w:val="18"/>
              </w:rPr>
            </w:pPr>
            <w:r w:rsidRPr="003835CE">
              <w:rPr>
                <w:rFonts w:cs="Arial"/>
                <w:bCs/>
                <w:sz w:val="18"/>
                <w:szCs w:val="18"/>
              </w:rPr>
              <w:t xml:space="preserve">               2-5 times</w:t>
            </w:r>
          </w:p>
        </w:tc>
        <w:tc>
          <w:tcPr>
            <w:tcW w:w="100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36.4</w:t>
            </w:r>
          </w:p>
        </w:tc>
        <w:tc>
          <w:tcPr>
            <w:tcW w:w="125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20.8</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20.0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25.5</w:t>
            </w:r>
          </w:p>
        </w:tc>
      </w:tr>
      <w:tr w:rsidR="003F789A" w:rsidRPr="00963613" w:rsidTr="00130171">
        <w:trPr>
          <w:trHeight w:val="360"/>
        </w:trPr>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               More than 5 times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30.3</w:t>
            </w:r>
          </w:p>
          <w:p w:rsidR="003F789A" w:rsidRPr="003835CE" w:rsidRDefault="003F789A" w:rsidP="00130171">
            <w:pPr>
              <w:tabs>
                <w:tab w:val="left" w:pos="880"/>
              </w:tabs>
              <w:spacing w:after="0" w:line="240" w:lineRule="auto"/>
              <w:jc w:val="center"/>
              <w:rPr>
                <w:rFonts w:cs="Arial"/>
                <w:sz w:val="18"/>
                <w:szCs w:val="18"/>
              </w:rPr>
            </w:pP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62.5</w:t>
            </w:r>
          </w:p>
          <w:p w:rsidR="003F789A" w:rsidRPr="003835CE" w:rsidRDefault="003F789A" w:rsidP="00130171">
            <w:pPr>
              <w:tabs>
                <w:tab w:val="left" w:pos="880"/>
              </w:tabs>
              <w:spacing w:after="0" w:line="240" w:lineRule="auto"/>
              <w:jc w:val="center"/>
              <w:rPr>
                <w:rFonts w:cs="Arial"/>
                <w:sz w:val="18"/>
                <w:szCs w:val="18"/>
              </w:rPr>
            </w:pP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46.7</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45.1</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color w:val="58595B"/>
                <w:sz w:val="18"/>
                <w:szCs w:val="18"/>
              </w:rPr>
            </w:pPr>
            <w:r w:rsidRPr="003835CE">
              <w:rPr>
                <w:rFonts w:cs="Arial"/>
                <w:bCs/>
                <w:sz w:val="18"/>
                <w:szCs w:val="18"/>
              </w:rPr>
              <w:t>Visit Danube river and/or islands</w:t>
            </w:r>
          </w:p>
        </w:tc>
        <w:tc>
          <w:tcPr>
            <w:tcW w:w="100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60.6</w:t>
            </w:r>
          </w:p>
        </w:tc>
        <w:tc>
          <w:tcPr>
            <w:tcW w:w="1256"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91.7</w:t>
            </w:r>
          </w:p>
        </w:tc>
        <w:tc>
          <w:tcPr>
            <w:tcW w:w="1232" w:type="dxa"/>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r w:rsidRPr="003835CE">
              <w:rPr>
                <w:rFonts w:cs="Arial"/>
                <w:sz w:val="18"/>
                <w:szCs w:val="18"/>
              </w:rPr>
              <w:t>82.2</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77.4</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 xml:space="preserve">Walking </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69.7</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50.0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60.0</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60.8</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Hunting</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9.1</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20.8</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7.8</w:t>
            </w:r>
          </w:p>
        </w:tc>
      </w:tr>
      <w:tr w:rsidR="003F789A" w:rsidRPr="00963613" w:rsidTr="00130171">
        <w:tc>
          <w:tcPr>
            <w:tcW w:w="3589" w:type="dxa"/>
            <w:shd w:val="clear" w:color="auto" w:fill="FFFFFF"/>
          </w:tcPr>
          <w:p w:rsidR="003F789A" w:rsidRPr="003835CE" w:rsidRDefault="003F789A" w:rsidP="00130171">
            <w:pPr>
              <w:tabs>
                <w:tab w:val="left" w:pos="880"/>
              </w:tabs>
              <w:spacing w:after="0" w:line="240" w:lineRule="auto"/>
              <w:rPr>
                <w:rFonts w:cs="Arial"/>
                <w:b/>
                <w:bCs/>
                <w:sz w:val="18"/>
                <w:szCs w:val="18"/>
              </w:rPr>
            </w:pPr>
            <w:r w:rsidRPr="003835CE">
              <w:rPr>
                <w:rFonts w:cs="Arial"/>
                <w:bCs/>
                <w:sz w:val="18"/>
                <w:szCs w:val="18"/>
              </w:rPr>
              <w:t>Collecting food/materials for own livelihoods</w:t>
            </w:r>
          </w:p>
        </w:tc>
        <w:tc>
          <w:tcPr>
            <w:tcW w:w="100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12.1</w:t>
            </w:r>
          </w:p>
        </w:tc>
        <w:tc>
          <w:tcPr>
            <w:tcW w:w="1256"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29.2</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31.3</w:t>
            </w:r>
          </w:p>
        </w:tc>
        <w:tc>
          <w:tcPr>
            <w:tcW w:w="1232" w:type="dxa"/>
            <w:shd w:val="clear" w:color="auto" w:fill="FFFFFF"/>
          </w:tcPr>
          <w:p w:rsidR="003F789A" w:rsidRPr="003835CE" w:rsidRDefault="003F789A" w:rsidP="00130171">
            <w:pPr>
              <w:tabs>
                <w:tab w:val="left" w:pos="880"/>
              </w:tabs>
              <w:spacing w:after="0" w:line="240" w:lineRule="auto"/>
              <w:jc w:val="center"/>
              <w:rPr>
                <w:rFonts w:cs="Arial"/>
                <w:sz w:val="18"/>
                <w:szCs w:val="18"/>
              </w:rPr>
            </w:pPr>
            <w:r w:rsidRPr="003835CE">
              <w:rPr>
                <w:rFonts w:cs="Arial"/>
                <w:sz w:val="18"/>
                <w:szCs w:val="18"/>
              </w:rPr>
              <w:t>24.6</w:t>
            </w:r>
          </w:p>
        </w:tc>
      </w:tr>
      <w:tr w:rsidR="003F789A" w:rsidRPr="00963613" w:rsidTr="00130171">
        <w:tc>
          <w:tcPr>
            <w:tcW w:w="3589" w:type="dxa"/>
            <w:tcBorders>
              <w:bottom w:val="single" w:sz="18" w:space="0" w:color="auto"/>
            </w:tcBorders>
            <w:shd w:val="clear" w:color="auto" w:fill="FFFFFF"/>
          </w:tcPr>
          <w:p w:rsidR="003F789A" w:rsidRPr="003835CE" w:rsidRDefault="003F789A" w:rsidP="00130171">
            <w:pPr>
              <w:tabs>
                <w:tab w:val="left" w:pos="880"/>
              </w:tabs>
              <w:spacing w:after="0" w:line="240" w:lineRule="auto"/>
              <w:rPr>
                <w:rFonts w:cs="Arial"/>
                <w:b/>
                <w:bCs/>
                <w:color w:val="58595B"/>
                <w:sz w:val="18"/>
                <w:szCs w:val="18"/>
              </w:rPr>
            </w:pPr>
          </w:p>
        </w:tc>
        <w:tc>
          <w:tcPr>
            <w:tcW w:w="1006" w:type="dxa"/>
            <w:tcBorders>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56" w:type="dxa"/>
            <w:tcBorders>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32" w:type="dxa"/>
            <w:tcBorders>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c>
          <w:tcPr>
            <w:tcW w:w="1232" w:type="dxa"/>
            <w:tcBorders>
              <w:bottom w:val="single" w:sz="18" w:space="0" w:color="auto"/>
            </w:tcBorders>
            <w:shd w:val="clear" w:color="auto" w:fill="FFFFFF"/>
          </w:tcPr>
          <w:p w:rsidR="003F789A" w:rsidRPr="003835CE" w:rsidRDefault="003F789A" w:rsidP="00130171">
            <w:pPr>
              <w:tabs>
                <w:tab w:val="left" w:pos="880"/>
              </w:tabs>
              <w:spacing w:after="0" w:line="240" w:lineRule="auto"/>
              <w:jc w:val="center"/>
              <w:rPr>
                <w:rFonts w:cs="Arial"/>
                <w:color w:val="58595B"/>
                <w:sz w:val="18"/>
                <w:szCs w:val="18"/>
              </w:rPr>
            </w:pPr>
          </w:p>
        </w:tc>
      </w:tr>
    </w:tbl>
    <w:p w:rsidR="003F789A" w:rsidRPr="00C446C5"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b/>
          <w:sz w:val="20"/>
        </w:rPr>
      </w:pPr>
      <w:r w:rsidRPr="006D566F">
        <w:rPr>
          <w:rFonts w:cs="Arial"/>
          <w:b/>
          <w:sz w:val="20"/>
        </w:rPr>
        <w:t xml:space="preserve"> Awareness of ESs</w:t>
      </w:r>
    </w:p>
    <w:p w:rsidR="003F789A" w:rsidRPr="006D566F" w:rsidRDefault="003F789A" w:rsidP="00E55058">
      <w:pPr>
        <w:tabs>
          <w:tab w:val="left" w:pos="880"/>
        </w:tabs>
        <w:spacing w:after="0" w:line="360" w:lineRule="auto"/>
        <w:rPr>
          <w:rFonts w:cs="Arial"/>
          <w:b/>
          <w:i/>
          <w:sz w:val="20"/>
        </w:rPr>
      </w:pPr>
      <w:r w:rsidRPr="006D566F">
        <w:rPr>
          <w:rFonts w:cs="Arial"/>
          <w:b/>
          <w:i/>
          <w:sz w:val="20"/>
        </w:rPr>
        <w:t xml:space="preserve">Do people recognize the ESs provided by wetlands in </w:t>
      </w:r>
      <w:proofErr w:type="spellStart"/>
      <w:r w:rsidRPr="006D566F">
        <w:rPr>
          <w:rFonts w:cs="Arial"/>
          <w:b/>
          <w:i/>
          <w:sz w:val="20"/>
        </w:rPr>
        <w:t>Persina</w:t>
      </w:r>
      <w:proofErr w:type="spellEnd"/>
      <w:r w:rsidRPr="006D566F">
        <w:rPr>
          <w:rFonts w:cs="Arial"/>
          <w:b/>
          <w:i/>
          <w:sz w:val="20"/>
        </w:rPr>
        <w:t>?</w:t>
      </w:r>
    </w:p>
    <w:p w:rsidR="003F789A" w:rsidRDefault="003F789A" w:rsidP="00E55058">
      <w:pPr>
        <w:tabs>
          <w:tab w:val="left" w:pos="880"/>
        </w:tabs>
        <w:spacing w:after="0" w:line="360" w:lineRule="auto"/>
        <w:rPr>
          <w:rFonts w:cs="Arial"/>
          <w:sz w:val="20"/>
        </w:rPr>
      </w:pPr>
      <w:r w:rsidRPr="00734230">
        <w:rPr>
          <w:rFonts w:cs="Arial"/>
          <w:sz w:val="20"/>
        </w:rPr>
        <w:t>When asked wh</w:t>
      </w:r>
      <w:r>
        <w:rPr>
          <w:rFonts w:cs="Arial"/>
          <w:sz w:val="20"/>
        </w:rPr>
        <w:t xml:space="preserve">ether they thought that </w:t>
      </w:r>
      <w:proofErr w:type="spellStart"/>
      <w:r>
        <w:rPr>
          <w:rFonts w:cs="Arial"/>
          <w:sz w:val="20"/>
        </w:rPr>
        <w:t>Persina</w:t>
      </w:r>
      <w:proofErr w:type="spellEnd"/>
      <w:r>
        <w:rPr>
          <w:rFonts w:cs="Arial"/>
          <w:sz w:val="20"/>
        </w:rPr>
        <w:t xml:space="preserve"> </w:t>
      </w:r>
      <w:r w:rsidRPr="00734230">
        <w:rPr>
          <w:rFonts w:cs="Arial"/>
          <w:sz w:val="20"/>
        </w:rPr>
        <w:t xml:space="preserve">provided any </w:t>
      </w:r>
      <w:r>
        <w:rPr>
          <w:rFonts w:cs="Arial"/>
          <w:sz w:val="20"/>
        </w:rPr>
        <w:t xml:space="preserve">of the depicted ESs, </w:t>
      </w:r>
      <w:r w:rsidRPr="00734230">
        <w:rPr>
          <w:rFonts w:cs="Arial"/>
          <w:sz w:val="20"/>
        </w:rPr>
        <w:t xml:space="preserve">respondents </w:t>
      </w:r>
      <w:r>
        <w:rPr>
          <w:rFonts w:cs="Arial"/>
          <w:sz w:val="20"/>
        </w:rPr>
        <w:t xml:space="preserve">most often </w:t>
      </w:r>
      <w:r w:rsidRPr="00734230">
        <w:rPr>
          <w:rFonts w:cs="Arial"/>
          <w:sz w:val="20"/>
        </w:rPr>
        <w:t xml:space="preserve">mentioned provisioning and </w:t>
      </w:r>
      <w:r>
        <w:rPr>
          <w:rFonts w:cs="Arial"/>
          <w:sz w:val="20"/>
        </w:rPr>
        <w:t>RES</w:t>
      </w:r>
      <w:r w:rsidRPr="00734230">
        <w:rPr>
          <w:rFonts w:cs="Arial"/>
          <w:sz w:val="20"/>
        </w:rPr>
        <w:t xml:space="preserve"> , specifically provision of food and recreation</w:t>
      </w:r>
      <w:r>
        <w:rPr>
          <w:rFonts w:cs="Arial"/>
          <w:sz w:val="20"/>
        </w:rPr>
        <w:t xml:space="preserve"> (Fig. 3).</w:t>
      </w:r>
      <w:r w:rsidRPr="00734230">
        <w:rPr>
          <w:rFonts w:cs="Arial"/>
          <w:sz w:val="20"/>
        </w:rPr>
        <w:t xml:space="preserve"> Flood regulation was only mentioned once. Seven percent</w:t>
      </w:r>
      <w:r>
        <w:rPr>
          <w:rFonts w:cs="Arial"/>
          <w:sz w:val="20"/>
        </w:rPr>
        <w:t xml:space="preserve"> </w:t>
      </w:r>
      <w:r w:rsidRPr="00734230">
        <w:rPr>
          <w:rFonts w:cs="Arial"/>
          <w:sz w:val="20"/>
        </w:rPr>
        <w:t xml:space="preserve">of the respondents had negative associations with </w:t>
      </w:r>
      <w:proofErr w:type="spellStart"/>
      <w:r w:rsidRPr="00734230">
        <w:rPr>
          <w:rFonts w:cs="Arial"/>
          <w:sz w:val="20"/>
        </w:rPr>
        <w:t>Persina</w:t>
      </w:r>
      <w:proofErr w:type="spellEnd"/>
      <w:r w:rsidRPr="00734230">
        <w:rPr>
          <w:rFonts w:cs="Arial"/>
          <w:sz w:val="20"/>
        </w:rPr>
        <w:t>, which mostly had to do with mosquitoes, accessibility</w:t>
      </w:r>
      <w:r>
        <w:rPr>
          <w:rFonts w:cs="Arial"/>
          <w:sz w:val="20"/>
        </w:rPr>
        <w:t>,</w:t>
      </w:r>
      <w:r w:rsidRPr="00734230">
        <w:rPr>
          <w:rFonts w:cs="Arial"/>
          <w:sz w:val="20"/>
        </w:rPr>
        <w:t xml:space="preserve"> and perceived degradation of the </w:t>
      </w:r>
      <w:r>
        <w:rPr>
          <w:rFonts w:cs="Arial"/>
          <w:sz w:val="20"/>
        </w:rPr>
        <w:t>area</w:t>
      </w:r>
      <w:r w:rsidRPr="00734230">
        <w:rPr>
          <w:rFonts w:cs="Arial"/>
          <w:sz w:val="20"/>
        </w:rPr>
        <w:t>.</w:t>
      </w:r>
      <w:r>
        <w:rPr>
          <w:rFonts w:cs="Arial"/>
          <w:sz w:val="20"/>
        </w:rPr>
        <w:t xml:space="preserve">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sidRPr="00734230">
        <w:rPr>
          <w:rFonts w:cs="Arial"/>
          <w:sz w:val="20"/>
        </w:rPr>
        <w:t xml:space="preserve">When linking </w:t>
      </w:r>
      <w:r>
        <w:rPr>
          <w:rFonts w:cs="Arial"/>
          <w:sz w:val="20"/>
        </w:rPr>
        <w:t>ESs</w:t>
      </w:r>
      <w:r w:rsidRPr="00734230">
        <w:rPr>
          <w:rFonts w:cs="Arial"/>
          <w:sz w:val="20"/>
        </w:rPr>
        <w:t xml:space="preserve"> to specific </w:t>
      </w:r>
      <w:r>
        <w:rPr>
          <w:rFonts w:cs="Arial"/>
          <w:sz w:val="20"/>
        </w:rPr>
        <w:t>wetland types</w:t>
      </w:r>
      <w:r w:rsidRPr="00734230">
        <w:rPr>
          <w:rFonts w:cs="Arial"/>
          <w:sz w:val="20"/>
        </w:rPr>
        <w:t xml:space="preserve">, </w:t>
      </w:r>
      <w:r>
        <w:rPr>
          <w:rFonts w:cs="Arial"/>
          <w:sz w:val="20"/>
        </w:rPr>
        <w:t xml:space="preserve">CES and RES </w:t>
      </w:r>
      <w:r w:rsidRPr="00734230">
        <w:rPr>
          <w:rFonts w:cs="Arial"/>
          <w:sz w:val="20"/>
        </w:rPr>
        <w:t>were</w:t>
      </w:r>
      <w:r>
        <w:rPr>
          <w:rFonts w:cs="Arial"/>
          <w:sz w:val="20"/>
        </w:rPr>
        <w:t xml:space="preserve"> mentioned the most.</w:t>
      </w:r>
      <w:r w:rsidRPr="00734230">
        <w:rPr>
          <w:rFonts w:cs="Arial"/>
          <w:sz w:val="20"/>
        </w:rPr>
        <w:t xml:space="preserve"> </w:t>
      </w:r>
      <w:r>
        <w:rPr>
          <w:rFonts w:cs="Arial"/>
          <w:sz w:val="20"/>
        </w:rPr>
        <w:t xml:space="preserve">RES were not mentioned that often, but a few respondents did associate flood regulation and soil erosion control with marshes and riparian forests. Several ESs were often linked to </w:t>
      </w:r>
      <w:proofErr w:type="spellStart"/>
      <w:r>
        <w:rPr>
          <w:rFonts w:cs="Arial"/>
          <w:sz w:val="20"/>
        </w:rPr>
        <w:t>Persina</w:t>
      </w:r>
      <w:proofErr w:type="spellEnd"/>
      <w:r>
        <w:rPr>
          <w:rFonts w:cs="Arial"/>
          <w:sz w:val="20"/>
        </w:rPr>
        <w:t xml:space="preserve">, but were mentioned less often when linked to specific wetland types: this was particularly the case for environmental education, tourism, recreation, and the provision of food.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There</w:t>
      </w:r>
      <w:r w:rsidRPr="00734230">
        <w:rPr>
          <w:rFonts w:cs="Arial"/>
          <w:sz w:val="20"/>
        </w:rPr>
        <w:t xml:space="preserve"> were significant differences bet</w:t>
      </w:r>
      <w:r>
        <w:rPr>
          <w:rFonts w:cs="Arial"/>
          <w:sz w:val="20"/>
        </w:rPr>
        <w:t>ween the awareness of ESs provided by meadows, mashes and riparian forests</w:t>
      </w:r>
      <w:r w:rsidRPr="00734230">
        <w:rPr>
          <w:rFonts w:cs="Arial"/>
          <w:sz w:val="20"/>
        </w:rPr>
        <w:t xml:space="preserve"> </w:t>
      </w:r>
      <w:r w:rsidRPr="00316C9D">
        <w:rPr>
          <w:rFonts w:cs="Arial"/>
          <w:sz w:val="20"/>
        </w:rPr>
        <w:t>(</w:t>
      </w:r>
      <w:r w:rsidRPr="00316C9D">
        <w:rPr>
          <w:rFonts w:cs="Arial"/>
          <w:color w:val="000000"/>
          <w:sz w:val="20"/>
          <w:lang w:val="nl-NL" w:eastAsia="nl-NL"/>
        </w:rPr>
        <w:t>χ</w:t>
      </w:r>
      <w:r w:rsidRPr="00316C9D">
        <w:rPr>
          <w:rFonts w:cs="Arial"/>
          <w:color w:val="000000"/>
          <w:sz w:val="20"/>
          <w:lang w:eastAsia="nl-NL"/>
        </w:rPr>
        <w:t>²=</w:t>
      </w:r>
      <w:r>
        <w:rPr>
          <w:rFonts w:cs="Arial"/>
          <w:sz w:val="20"/>
        </w:rPr>
        <w:t>83.</w:t>
      </w:r>
      <w:r w:rsidRPr="00316C9D">
        <w:rPr>
          <w:rFonts w:cs="Arial"/>
          <w:sz w:val="20"/>
        </w:rPr>
        <w:t xml:space="preserve">219, </w:t>
      </w:r>
      <w:proofErr w:type="spellStart"/>
      <w:r w:rsidRPr="00316C9D">
        <w:rPr>
          <w:rFonts w:cs="Arial"/>
          <w:sz w:val="20"/>
        </w:rPr>
        <w:t>df</w:t>
      </w:r>
      <w:proofErr w:type="spellEnd"/>
      <w:r w:rsidRPr="00316C9D">
        <w:rPr>
          <w:rFonts w:cs="Arial"/>
          <w:sz w:val="20"/>
        </w:rPr>
        <w:t>= 29, p&lt;</w:t>
      </w:r>
      <w:r>
        <w:rPr>
          <w:rFonts w:cs="Arial"/>
          <w:sz w:val="20"/>
        </w:rPr>
        <w:t>0.</w:t>
      </w:r>
      <w:r w:rsidRPr="00316C9D">
        <w:rPr>
          <w:rFonts w:cs="Arial"/>
          <w:sz w:val="20"/>
        </w:rPr>
        <w:t>05).</w:t>
      </w:r>
      <w:r w:rsidRPr="00734230">
        <w:rPr>
          <w:rFonts w:cs="Arial"/>
          <w:sz w:val="20"/>
        </w:rPr>
        <w:t xml:space="preserve"> </w:t>
      </w:r>
      <w:r>
        <w:rPr>
          <w:rFonts w:cs="Arial"/>
          <w:sz w:val="20"/>
        </w:rPr>
        <w:t>Meadows were associated with the provision of medicine and food. Biodiversity and water quality were mostly associated with marshes, and the provision of materials and recreation were mostly associated with riparian forests. Meadows were associated more with aesthetic quality than</w:t>
      </w:r>
      <w:r w:rsidRPr="00734230">
        <w:rPr>
          <w:rFonts w:cs="Arial"/>
          <w:sz w:val="20"/>
        </w:rPr>
        <w:t xml:space="preserve"> </w:t>
      </w:r>
      <w:r>
        <w:rPr>
          <w:rFonts w:cs="Arial"/>
          <w:sz w:val="20"/>
        </w:rPr>
        <w:t xml:space="preserve">marshes </w:t>
      </w:r>
      <w:r w:rsidRPr="00734230">
        <w:rPr>
          <w:rFonts w:cs="Arial"/>
          <w:sz w:val="20"/>
        </w:rPr>
        <w:t>and riparian forests.</w:t>
      </w:r>
      <w:r>
        <w:rPr>
          <w:rFonts w:cs="Arial"/>
          <w:sz w:val="20"/>
        </w:rPr>
        <w:t xml:space="preserve"> </w:t>
      </w:r>
    </w:p>
    <w:p w:rsidR="003F789A" w:rsidRDefault="003F789A" w:rsidP="00E55058">
      <w:pPr>
        <w:tabs>
          <w:tab w:val="left" w:pos="880"/>
        </w:tabs>
        <w:spacing w:after="0" w:line="360" w:lineRule="auto"/>
        <w:ind w:firstLine="720"/>
        <w:rPr>
          <w:rFonts w:cs="Arial"/>
          <w:sz w:val="20"/>
        </w:rPr>
      </w:pPr>
    </w:p>
    <w:p w:rsidR="003F789A" w:rsidRDefault="003F789A" w:rsidP="00E55058">
      <w:pPr>
        <w:tabs>
          <w:tab w:val="left" w:pos="880"/>
        </w:tabs>
        <w:spacing w:after="0" w:line="360" w:lineRule="auto"/>
        <w:rPr>
          <w:rFonts w:cs="Arial"/>
          <w:sz w:val="20"/>
        </w:rPr>
      </w:pPr>
      <w:r>
        <w:rPr>
          <w:rFonts w:cs="Arial"/>
          <w:sz w:val="20"/>
        </w:rPr>
        <w:t>Twenty-two percent of the respondents had negative associations with marshes, mostly regarding the presence of mosquitoes. Two respondents associated marshes with a threat of floods. Ten percent of the respondents had negative associations with riparian forests, which related mostly to a flooding. In addition, a few respondents mentioned that riparian forests were not easily accessible and that they are not properly managed. Two respondents mentioned improper management of the area.</w:t>
      </w:r>
    </w:p>
    <w:p w:rsidR="003F789A" w:rsidRDefault="003F789A" w:rsidP="00E55058">
      <w:pPr>
        <w:tabs>
          <w:tab w:val="left" w:pos="880"/>
        </w:tabs>
        <w:spacing w:after="0" w:line="360" w:lineRule="auto"/>
        <w:rPr>
          <w:rFonts w:cs="Arial"/>
          <w:sz w:val="20"/>
        </w:rPr>
      </w:pPr>
    </w:p>
    <w:p w:rsidR="003F789A" w:rsidRPr="00481968" w:rsidRDefault="003F789A" w:rsidP="00E55058">
      <w:pPr>
        <w:keepNext/>
        <w:tabs>
          <w:tab w:val="left" w:pos="880"/>
        </w:tabs>
        <w:spacing w:after="0" w:line="360" w:lineRule="auto"/>
        <w:rPr>
          <w:rFonts w:cs="Arial"/>
          <w:i/>
          <w:noProof/>
          <w:sz w:val="20"/>
          <w:lang w:eastAsia="nl-NL"/>
        </w:rPr>
      </w:pPr>
      <w:r>
        <w:rPr>
          <w:rFonts w:cs="Arial"/>
          <w:i/>
          <w:noProof/>
          <w:sz w:val="20"/>
          <w:lang w:eastAsia="nl-NL"/>
        </w:rPr>
        <w:lastRenderedPageBreak/>
        <w:t>How are knowledge of and visits to Persina related to the awareness of ESs?</w:t>
      </w:r>
    </w:p>
    <w:p w:rsidR="003F789A" w:rsidRPr="00304F49" w:rsidRDefault="003F789A" w:rsidP="00E55058">
      <w:pPr>
        <w:keepNext/>
        <w:tabs>
          <w:tab w:val="left" w:pos="880"/>
        </w:tabs>
        <w:spacing w:after="0" w:line="360" w:lineRule="auto"/>
        <w:rPr>
          <w:rFonts w:cs="Arial"/>
          <w:noProof/>
          <w:sz w:val="20"/>
          <w:lang w:eastAsia="nl-NL"/>
        </w:rPr>
      </w:pPr>
      <w:r>
        <w:rPr>
          <w:rFonts w:cs="Arial"/>
          <w:noProof/>
          <w:sz w:val="20"/>
          <w:lang w:eastAsia="nl-NL"/>
        </w:rPr>
        <w:t>Of all respondents, 80% had heard about Persina before and 75% knew that Persina had a protected area status. At the same time,  only 37% had heard about the wetland restoration project at Persin island. We performed a chi-square test to see whether people who knew about the wetland restoration project, were also more aware off RES provided by wetlands in Persina, but found no significant results.</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Respondents who visited </w:t>
      </w:r>
      <w:proofErr w:type="spellStart"/>
      <w:r>
        <w:rPr>
          <w:rFonts w:cs="Arial"/>
          <w:sz w:val="20"/>
        </w:rPr>
        <w:t>Persina</w:t>
      </w:r>
      <w:proofErr w:type="spellEnd"/>
      <w:r>
        <w:rPr>
          <w:rFonts w:cs="Arial"/>
          <w:sz w:val="20"/>
        </w:rPr>
        <w:t xml:space="preserve"> more often may also have been more aware of particular ESs . We therefore assessed linkages between awareness of ESs and the visits people made to </w:t>
      </w:r>
      <w:proofErr w:type="spellStart"/>
      <w:r>
        <w:rPr>
          <w:rFonts w:cs="Arial"/>
          <w:sz w:val="20"/>
        </w:rPr>
        <w:t>Persina</w:t>
      </w:r>
      <w:proofErr w:type="spellEnd"/>
      <w:r>
        <w:rPr>
          <w:rFonts w:cs="Arial"/>
          <w:sz w:val="20"/>
        </w:rPr>
        <w:t xml:space="preserve">: type of visits, frequency of visits and location of visits. We grouped all responses to each separate wetland type (i.e. marshes, meadows and riparian forests) into one a variable, reflecting whether people had recognized any ESs for any of the wetland ecosystems in </w:t>
      </w:r>
      <w:proofErr w:type="spellStart"/>
      <w:r>
        <w:rPr>
          <w:rFonts w:cs="Arial"/>
          <w:sz w:val="20"/>
        </w:rPr>
        <w:t>Persina</w:t>
      </w:r>
      <w:proofErr w:type="spellEnd"/>
      <w:r>
        <w:rPr>
          <w:rFonts w:cs="Arial"/>
          <w:sz w:val="20"/>
        </w:rPr>
        <w:t xml:space="preserve">. From each category, i.e. cultural, provisioning, and RES, we selected the ES that was mentioned most for the wetland types: water quality, existence values for biodiversity and the provision of food. </w:t>
      </w:r>
    </w:p>
    <w:p w:rsidR="003F789A" w:rsidRDefault="003F789A" w:rsidP="00E55058">
      <w:pPr>
        <w:tabs>
          <w:tab w:val="left" w:pos="880"/>
        </w:tabs>
        <w:spacing w:after="0" w:line="360" w:lineRule="auto"/>
        <w:ind w:firstLine="720"/>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Significant differences were found for all three ESs. Respondents who visited </w:t>
      </w:r>
      <w:proofErr w:type="spellStart"/>
      <w:r>
        <w:rPr>
          <w:rFonts w:cs="Arial"/>
          <w:sz w:val="20"/>
        </w:rPr>
        <w:t>Persina</w:t>
      </w:r>
      <w:proofErr w:type="spellEnd"/>
      <w:r>
        <w:rPr>
          <w:rFonts w:cs="Arial"/>
          <w:sz w:val="20"/>
        </w:rPr>
        <w:t xml:space="preserve"> frequently, more often recognized water quality as an ES than respondents who visited </w:t>
      </w:r>
      <w:proofErr w:type="spellStart"/>
      <w:r>
        <w:rPr>
          <w:rFonts w:cs="Arial"/>
          <w:sz w:val="20"/>
        </w:rPr>
        <w:t>Persina</w:t>
      </w:r>
      <w:proofErr w:type="spellEnd"/>
      <w:r>
        <w:rPr>
          <w:rFonts w:cs="Arial"/>
          <w:sz w:val="20"/>
        </w:rPr>
        <w:t xml:space="preserve"> a few times or less,. In addition, respondents who went walking in </w:t>
      </w:r>
      <w:proofErr w:type="spellStart"/>
      <w:r>
        <w:rPr>
          <w:rFonts w:cs="Arial"/>
          <w:sz w:val="20"/>
        </w:rPr>
        <w:t>Persina</w:t>
      </w:r>
      <w:proofErr w:type="spellEnd"/>
      <w:r>
        <w:rPr>
          <w:rFonts w:cs="Arial"/>
          <w:sz w:val="20"/>
        </w:rPr>
        <w:t xml:space="preserve"> or who collected food were more aware of water quality than respondents who did not. Respondents who went to the Danube River during visits also recognized water quality more often than respondents who did not. These respondents also recognized the ability of wetlands to support biodiversity. Not surprisingly, respondents who collected food in </w:t>
      </w:r>
      <w:proofErr w:type="spellStart"/>
      <w:r>
        <w:rPr>
          <w:rFonts w:cs="Arial"/>
          <w:sz w:val="20"/>
        </w:rPr>
        <w:t>Persina</w:t>
      </w:r>
      <w:proofErr w:type="spellEnd"/>
      <w:r>
        <w:rPr>
          <w:rFonts w:cs="Arial"/>
          <w:sz w:val="20"/>
        </w:rPr>
        <w:t xml:space="preserve"> mentioned food as an ES more often. </w:t>
      </w:r>
    </w:p>
    <w:p w:rsidR="003F789A" w:rsidRDefault="008C4819" w:rsidP="00E55058">
      <w:pPr>
        <w:tabs>
          <w:tab w:val="left" w:pos="880"/>
        </w:tabs>
        <w:spacing w:after="0" w:line="360" w:lineRule="auto"/>
        <w:jc w:val="center"/>
        <w:rPr>
          <w:rFonts w:cs="Arial"/>
          <w:noProof/>
          <w:sz w:val="20"/>
          <w:lang w:eastAsia="nl-NL"/>
        </w:rPr>
      </w:pPr>
      <w:r>
        <w:rPr>
          <w:rFonts w:cs="Arial"/>
          <w:noProof/>
          <w:sz w:val="20"/>
          <w:lang w:val="en-IE" w:eastAsia="en-IE"/>
        </w:rPr>
        <w:drawing>
          <wp:inline distT="0" distB="0" distL="0" distR="0">
            <wp:extent cx="5831840" cy="3244850"/>
            <wp:effectExtent l="0" t="0" r="0" b="0"/>
            <wp:docPr id="45" name="Picture 5"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1840" cy="3244850"/>
                    </a:xfrm>
                    <a:prstGeom prst="rect">
                      <a:avLst/>
                    </a:prstGeom>
                    <a:noFill/>
                    <a:ln>
                      <a:noFill/>
                    </a:ln>
                  </pic:spPr>
                </pic:pic>
              </a:graphicData>
            </a:graphic>
          </wp:inline>
        </w:drawing>
      </w:r>
    </w:p>
    <w:p w:rsidR="003F789A" w:rsidRPr="00517655" w:rsidRDefault="003F789A" w:rsidP="00E55058">
      <w:pPr>
        <w:tabs>
          <w:tab w:val="left" w:pos="880"/>
        </w:tabs>
        <w:spacing w:after="0" w:line="360" w:lineRule="auto"/>
        <w:rPr>
          <w:rFonts w:cs="Arial"/>
          <w:sz w:val="18"/>
          <w:szCs w:val="18"/>
        </w:rPr>
      </w:pPr>
      <w:r w:rsidRPr="00517655">
        <w:rPr>
          <w:rFonts w:cs="Arial"/>
          <w:b/>
          <w:sz w:val="18"/>
          <w:szCs w:val="18"/>
        </w:rPr>
        <w:t xml:space="preserve">Fig. </w:t>
      </w:r>
      <w:r>
        <w:rPr>
          <w:rFonts w:cs="Arial"/>
          <w:b/>
          <w:sz w:val="18"/>
          <w:szCs w:val="18"/>
        </w:rPr>
        <w:t>3</w:t>
      </w:r>
      <w:r w:rsidRPr="00517655">
        <w:rPr>
          <w:rFonts w:cs="Arial"/>
          <w:b/>
          <w:sz w:val="18"/>
          <w:szCs w:val="18"/>
        </w:rPr>
        <w:t>.</w:t>
      </w:r>
      <w:r w:rsidRPr="00517655">
        <w:rPr>
          <w:rFonts w:cs="Arial"/>
          <w:sz w:val="18"/>
          <w:szCs w:val="18"/>
        </w:rPr>
        <w:t xml:space="preserve"> The socio-cultural values of ESs expressed as the amount of times the ES was mentioned for personal well-being (self-oriented) and well-being of everybody living in </w:t>
      </w:r>
      <w:proofErr w:type="spellStart"/>
      <w:r w:rsidRPr="00517655">
        <w:rPr>
          <w:rFonts w:cs="Arial"/>
          <w:sz w:val="18"/>
          <w:szCs w:val="18"/>
        </w:rPr>
        <w:t>Persina</w:t>
      </w:r>
      <w:proofErr w:type="spellEnd"/>
      <w:r w:rsidRPr="00517655">
        <w:rPr>
          <w:rFonts w:cs="Arial"/>
          <w:sz w:val="18"/>
          <w:szCs w:val="18"/>
        </w:rPr>
        <w:t xml:space="preserve"> (other-oriented).</w:t>
      </w:r>
    </w:p>
    <w:p w:rsidR="003F789A" w:rsidRDefault="003F789A" w:rsidP="00E55058">
      <w:pPr>
        <w:tabs>
          <w:tab w:val="left" w:pos="880"/>
        </w:tabs>
        <w:spacing w:after="0" w:line="360" w:lineRule="auto"/>
        <w:rPr>
          <w:rFonts w:cs="Arial"/>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 xml:space="preserve">Values for ESs provided by </w:t>
      </w:r>
      <w:proofErr w:type="spellStart"/>
      <w:r w:rsidRPr="006D566F">
        <w:rPr>
          <w:rFonts w:cs="Arial"/>
          <w:b/>
          <w:sz w:val="20"/>
        </w:rPr>
        <w:t>Persina</w:t>
      </w:r>
      <w:proofErr w:type="spellEnd"/>
    </w:p>
    <w:p w:rsidR="003F789A" w:rsidRDefault="003F789A" w:rsidP="00E55058">
      <w:pPr>
        <w:tabs>
          <w:tab w:val="left" w:pos="880"/>
        </w:tabs>
        <w:spacing w:after="0" w:line="360" w:lineRule="auto"/>
        <w:rPr>
          <w:rFonts w:cs="Arial"/>
          <w:sz w:val="20"/>
        </w:rPr>
      </w:pPr>
      <w:r w:rsidRPr="00734230">
        <w:rPr>
          <w:rFonts w:cs="Arial"/>
          <w:sz w:val="20"/>
        </w:rPr>
        <w:t xml:space="preserve">To account for both </w:t>
      </w:r>
      <w:r>
        <w:rPr>
          <w:rFonts w:cs="Arial"/>
          <w:sz w:val="20"/>
        </w:rPr>
        <w:t xml:space="preserve">self-oriented values </w:t>
      </w:r>
      <w:r w:rsidRPr="00734230">
        <w:rPr>
          <w:rFonts w:cs="Arial"/>
          <w:sz w:val="20"/>
        </w:rPr>
        <w:t xml:space="preserve">and </w:t>
      </w:r>
      <w:r>
        <w:rPr>
          <w:rFonts w:cs="Arial"/>
          <w:sz w:val="20"/>
        </w:rPr>
        <w:t xml:space="preserve">community oriented </w:t>
      </w:r>
      <w:r w:rsidRPr="00734230">
        <w:rPr>
          <w:rFonts w:cs="Arial"/>
          <w:sz w:val="20"/>
        </w:rPr>
        <w:t>value</w:t>
      </w:r>
      <w:r>
        <w:rPr>
          <w:rFonts w:cs="Arial"/>
          <w:sz w:val="20"/>
        </w:rPr>
        <w:t>s, the respondents</w:t>
      </w:r>
      <w:r w:rsidRPr="00734230">
        <w:rPr>
          <w:rFonts w:cs="Arial"/>
          <w:sz w:val="20"/>
        </w:rPr>
        <w:t xml:space="preserve"> were asked to value </w:t>
      </w:r>
      <w:r>
        <w:rPr>
          <w:rFonts w:cs="Arial"/>
          <w:sz w:val="20"/>
        </w:rPr>
        <w:t xml:space="preserve">ESs, first for their own </w:t>
      </w:r>
      <w:r w:rsidRPr="00734230">
        <w:rPr>
          <w:rFonts w:cs="Arial"/>
          <w:sz w:val="20"/>
        </w:rPr>
        <w:t>personal well-being</w:t>
      </w:r>
      <w:r>
        <w:rPr>
          <w:rFonts w:cs="Arial"/>
          <w:sz w:val="20"/>
        </w:rPr>
        <w:t>,</w:t>
      </w:r>
      <w:r w:rsidRPr="00734230">
        <w:rPr>
          <w:rFonts w:cs="Arial"/>
          <w:sz w:val="20"/>
        </w:rPr>
        <w:t xml:space="preserve"> and </w:t>
      </w:r>
      <w:r>
        <w:rPr>
          <w:rFonts w:cs="Arial"/>
          <w:sz w:val="20"/>
        </w:rPr>
        <w:t xml:space="preserve">subsequently </w:t>
      </w:r>
      <w:r w:rsidRPr="00734230">
        <w:rPr>
          <w:rFonts w:cs="Arial"/>
          <w:sz w:val="20"/>
        </w:rPr>
        <w:t xml:space="preserve">for the well-being of all residents . </w:t>
      </w:r>
      <w:r>
        <w:rPr>
          <w:rFonts w:cs="Arial"/>
          <w:sz w:val="20"/>
        </w:rPr>
        <w:t>Overall, differences between the</w:t>
      </w:r>
      <w:r w:rsidRPr="00734230">
        <w:rPr>
          <w:rFonts w:cs="Arial"/>
          <w:sz w:val="20"/>
        </w:rPr>
        <w:t xml:space="preserve"> two types of value were</w:t>
      </w:r>
      <w:r>
        <w:rPr>
          <w:rFonts w:cs="Arial"/>
          <w:sz w:val="20"/>
        </w:rPr>
        <w:t xml:space="preserve"> </w:t>
      </w:r>
      <w:r w:rsidRPr="00734230">
        <w:rPr>
          <w:rFonts w:cs="Arial"/>
          <w:sz w:val="20"/>
        </w:rPr>
        <w:t xml:space="preserve">not </w:t>
      </w:r>
      <w:r>
        <w:rPr>
          <w:rFonts w:cs="Arial"/>
          <w:sz w:val="20"/>
        </w:rPr>
        <w:t>significant (</w:t>
      </w:r>
      <w:r w:rsidRPr="00316C9D">
        <w:rPr>
          <w:rFonts w:cs="Arial"/>
          <w:color w:val="000000"/>
          <w:sz w:val="20"/>
          <w:lang w:val="nl-NL" w:eastAsia="nl-NL"/>
        </w:rPr>
        <w:t>χ</w:t>
      </w:r>
      <w:r w:rsidRPr="00316C9D">
        <w:rPr>
          <w:rFonts w:cs="Arial"/>
          <w:color w:val="000000"/>
          <w:sz w:val="20"/>
          <w:lang w:eastAsia="nl-NL"/>
        </w:rPr>
        <w:t>²</w:t>
      </w:r>
      <w:r>
        <w:rPr>
          <w:rFonts w:cs="Arial"/>
          <w:color w:val="000000"/>
          <w:sz w:val="20"/>
          <w:lang w:eastAsia="nl-NL"/>
        </w:rPr>
        <w:t>=</w:t>
      </w:r>
      <w:r>
        <w:rPr>
          <w:rFonts w:cs="Arial"/>
          <w:sz w:val="20"/>
        </w:rPr>
        <w:t xml:space="preserve">9.958, </w:t>
      </w:r>
      <w:proofErr w:type="spellStart"/>
      <w:r>
        <w:rPr>
          <w:rFonts w:cs="Arial"/>
          <w:sz w:val="20"/>
        </w:rPr>
        <w:t>df</w:t>
      </w:r>
      <w:proofErr w:type="spellEnd"/>
      <w:r>
        <w:rPr>
          <w:rFonts w:cs="Arial"/>
          <w:sz w:val="20"/>
        </w:rPr>
        <w:t xml:space="preserve">= 14, p=0.765). For both self-oriented and other-oriented values, the </w:t>
      </w:r>
      <w:r w:rsidRPr="00734230">
        <w:rPr>
          <w:rFonts w:cs="Arial"/>
          <w:sz w:val="20"/>
        </w:rPr>
        <w:t>provision</w:t>
      </w:r>
      <w:r>
        <w:rPr>
          <w:rFonts w:cs="Arial"/>
          <w:sz w:val="20"/>
        </w:rPr>
        <w:t>ing</w:t>
      </w:r>
      <w:r w:rsidRPr="00734230">
        <w:rPr>
          <w:rFonts w:cs="Arial"/>
          <w:sz w:val="20"/>
        </w:rPr>
        <w:t xml:space="preserve"> of food and materials, recreation, existence of biodiversity, aesthetic values</w:t>
      </w:r>
      <w:r>
        <w:rPr>
          <w:rFonts w:cs="Arial"/>
          <w:sz w:val="20"/>
        </w:rPr>
        <w:t>,</w:t>
      </w:r>
      <w:r w:rsidRPr="00734230">
        <w:rPr>
          <w:rFonts w:cs="Arial"/>
          <w:sz w:val="20"/>
        </w:rPr>
        <w:t xml:space="preserve"> and tourism were found </w:t>
      </w:r>
      <w:r>
        <w:rPr>
          <w:rFonts w:cs="Arial"/>
          <w:sz w:val="20"/>
        </w:rPr>
        <w:t xml:space="preserve">to be the </w:t>
      </w:r>
      <w:r w:rsidRPr="00734230">
        <w:rPr>
          <w:rFonts w:cs="Arial"/>
          <w:sz w:val="20"/>
        </w:rPr>
        <w:t>most important</w:t>
      </w:r>
      <w:r>
        <w:rPr>
          <w:rFonts w:cs="Arial"/>
          <w:sz w:val="20"/>
        </w:rPr>
        <w:t xml:space="preserve"> ESs (Fig. 2)</w:t>
      </w:r>
      <w:r w:rsidRPr="00734230">
        <w:rPr>
          <w:rFonts w:cs="Arial"/>
          <w:sz w:val="20"/>
        </w:rPr>
        <w:t xml:space="preserve">. </w:t>
      </w:r>
    </w:p>
    <w:p w:rsidR="003F789A" w:rsidRDefault="003F789A" w:rsidP="00E55058">
      <w:pPr>
        <w:tabs>
          <w:tab w:val="left" w:pos="880"/>
        </w:tabs>
        <w:spacing w:after="0" w:line="360" w:lineRule="auto"/>
        <w:rPr>
          <w:rFonts w:cs="Arial"/>
          <w:i/>
          <w:sz w:val="20"/>
        </w:rPr>
      </w:pPr>
    </w:p>
    <w:p w:rsidR="003F789A" w:rsidRPr="00C26FF4" w:rsidRDefault="003F789A" w:rsidP="00E55058">
      <w:pPr>
        <w:tabs>
          <w:tab w:val="left" w:pos="880"/>
        </w:tabs>
        <w:spacing w:after="0" w:line="360" w:lineRule="auto"/>
        <w:rPr>
          <w:rFonts w:cs="Arial"/>
          <w:i/>
          <w:sz w:val="20"/>
        </w:rPr>
      </w:pPr>
      <w:r>
        <w:rPr>
          <w:rFonts w:cs="Arial"/>
          <w:i/>
          <w:sz w:val="20"/>
        </w:rPr>
        <w:t xml:space="preserve"> Differences in awareness and values between different users</w:t>
      </w:r>
    </w:p>
    <w:p w:rsidR="003F789A" w:rsidRPr="00B51068" w:rsidRDefault="003F789A" w:rsidP="00E55058">
      <w:pPr>
        <w:tabs>
          <w:tab w:val="left" w:pos="880"/>
        </w:tabs>
        <w:spacing w:after="0" w:line="360" w:lineRule="auto"/>
        <w:rPr>
          <w:rFonts w:cs="Arial"/>
          <w:i/>
          <w:noProof/>
          <w:sz w:val="20"/>
          <w:lang w:eastAsia="nl-NL"/>
        </w:rPr>
      </w:pPr>
      <w:r>
        <w:rPr>
          <w:rFonts w:cs="Arial"/>
          <w:sz w:val="20"/>
        </w:rPr>
        <w:t>There were significant differences between user groups in their awareness of RES, specifically climate regulation and water quality, and PES, specifically provision of material and provision of food.</w:t>
      </w:r>
      <w:r w:rsidRPr="00B51068">
        <w:rPr>
          <w:rFonts w:cs="Arial"/>
          <w:noProof/>
          <w:sz w:val="20"/>
          <w:lang w:eastAsia="nl-NL"/>
        </w:rPr>
        <w:t xml:space="preserve"> </w:t>
      </w:r>
      <w:r>
        <w:rPr>
          <w:rFonts w:cs="Arial"/>
          <w:noProof/>
          <w:sz w:val="20"/>
          <w:lang w:eastAsia="nl-NL"/>
        </w:rPr>
        <w:t>Fishermen recognized materials and food as an ES significantly more often than did farmers and residents.</w:t>
      </w:r>
      <w:r>
        <w:rPr>
          <w:rFonts w:cs="Arial"/>
          <w:sz w:val="20"/>
        </w:rPr>
        <w:t xml:space="preserve"> F</w:t>
      </w:r>
      <w:r>
        <w:rPr>
          <w:rFonts w:cs="Arial"/>
          <w:noProof/>
          <w:sz w:val="20"/>
          <w:lang w:eastAsia="nl-NL"/>
        </w:rPr>
        <w:t xml:space="preserve">armers and fishermen were significantly more aware of RES than residents, specifically climate regulation </w:t>
      </w:r>
      <w:r>
        <w:rPr>
          <w:rFonts w:cs="Arial"/>
          <w:bCs/>
          <w:color w:val="000000"/>
          <w:sz w:val="20"/>
          <w:lang w:eastAsia="nl-NL"/>
        </w:rPr>
        <w:t xml:space="preserve">and water quality. </w:t>
      </w:r>
    </w:p>
    <w:p w:rsidR="003F789A" w:rsidRDefault="003F789A" w:rsidP="00E55058">
      <w:pPr>
        <w:tabs>
          <w:tab w:val="left" w:pos="880"/>
        </w:tabs>
        <w:spacing w:after="0" w:line="360" w:lineRule="auto"/>
        <w:rPr>
          <w:rFonts w:cs="Arial"/>
          <w:sz w:val="20"/>
        </w:rPr>
      </w:pPr>
    </w:p>
    <w:p w:rsidR="003F789A" w:rsidRDefault="008C4819" w:rsidP="00E55058">
      <w:pPr>
        <w:tabs>
          <w:tab w:val="left" w:pos="880"/>
        </w:tabs>
        <w:spacing w:after="0" w:line="360" w:lineRule="auto"/>
        <w:rPr>
          <w:rFonts w:cs="Arial"/>
          <w:sz w:val="20"/>
        </w:rPr>
      </w:pPr>
      <w:r>
        <w:rPr>
          <w:noProof/>
          <w:lang w:val="en-IE" w:eastAsia="en-IE"/>
        </w:rPr>
        <mc:AlternateContent>
          <mc:Choice Requires="wps">
            <w:drawing>
              <wp:anchor distT="0" distB="0" distL="114300" distR="114300" simplePos="0" relativeHeight="251658240" behindDoc="0" locked="0" layoutInCell="1" allowOverlap="1">
                <wp:simplePos x="0" y="0"/>
                <wp:positionH relativeFrom="column">
                  <wp:posOffset>-3554730</wp:posOffset>
                </wp:positionH>
                <wp:positionV relativeFrom="paragraph">
                  <wp:posOffset>-474345</wp:posOffset>
                </wp:positionV>
                <wp:extent cx="283210" cy="233045"/>
                <wp:effectExtent l="0" t="0" r="254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5E3" w:rsidRDefault="006B65E3" w:rsidP="00E55058">
                            <w:proofErr w:type="gramStart"/>
                            <w: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79.9pt;margin-top:-37.35pt;width:22.3pt;height:1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" stroked="f">
                <v:textbox>
                  <w:txbxContent>
                    <w:p w:rsidR="006B65E3" w:rsidRDefault="006B65E3" w:rsidP="00E55058">
                      <w:proofErr w:type="gramStart"/>
                      <w:r>
                        <w:t>a</w:t>
                      </w:r>
                      <w:proofErr w:type="gramEnd"/>
                    </w:p>
                  </w:txbxContent>
                </v:textbox>
              </v:shape>
            </w:pict>
          </mc:Fallback>
        </mc:AlternateContent>
      </w:r>
      <w:r w:rsidR="003F789A">
        <w:rPr>
          <w:rFonts w:cs="Arial"/>
          <w:sz w:val="20"/>
        </w:rPr>
        <w:t xml:space="preserve">Despite the higher awareness of RES, farmers and fishermen did not mention </w:t>
      </w:r>
      <w:proofErr w:type="gramStart"/>
      <w:r w:rsidR="003F789A">
        <w:rPr>
          <w:rFonts w:cs="Arial"/>
          <w:sz w:val="20"/>
        </w:rPr>
        <w:t>these</w:t>
      </w:r>
      <w:proofErr w:type="gramEnd"/>
      <w:r w:rsidR="003F789A">
        <w:rPr>
          <w:rFonts w:cs="Arial"/>
          <w:sz w:val="20"/>
        </w:rPr>
        <w:t xml:space="preserve"> ESs significantly more often than residents when asked to indicate which ESs were most important for their personal well-being. Across all user groups, the cultural and PES were regarded as most important. Significant differences were found for biodiversity, which was most important to the farmers. Provision of materials and food were both considered most important by fishermen. Despite the importance of provisioning services for fishermen, they also assigned a lot of value to RES, specifically recreation. The most important CES for residents were recreation and aesthetic values.</w:t>
      </w:r>
    </w:p>
    <w:p w:rsidR="003F789A" w:rsidRDefault="003F789A" w:rsidP="00E55058">
      <w:pPr>
        <w:tabs>
          <w:tab w:val="left" w:pos="880"/>
        </w:tabs>
        <w:spacing w:after="0" w:line="360" w:lineRule="auto"/>
        <w:rPr>
          <w:rFonts w:cs="Arial"/>
          <w:sz w:val="20"/>
        </w:rPr>
      </w:pPr>
    </w:p>
    <w:p w:rsidR="003F789A" w:rsidRPr="006D566F" w:rsidRDefault="003F789A" w:rsidP="00E55058">
      <w:pPr>
        <w:tabs>
          <w:tab w:val="left" w:pos="880"/>
        </w:tabs>
        <w:spacing w:after="0" w:line="360" w:lineRule="auto"/>
        <w:rPr>
          <w:rFonts w:cs="Arial"/>
          <w:b/>
          <w:sz w:val="20"/>
        </w:rPr>
      </w:pPr>
      <w:r w:rsidRPr="006D566F">
        <w:rPr>
          <w:rFonts w:cs="Arial"/>
          <w:b/>
          <w:i/>
          <w:sz w:val="20"/>
        </w:rPr>
        <w:t>Links between values for ESs and attitudes towards wetland restoration</w:t>
      </w:r>
    </w:p>
    <w:p w:rsidR="003F789A" w:rsidRDefault="003F789A" w:rsidP="00E55058">
      <w:pPr>
        <w:tabs>
          <w:tab w:val="left" w:pos="880"/>
        </w:tabs>
        <w:spacing w:after="0" w:line="360" w:lineRule="auto"/>
        <w:rPr>
          <w:rFonts w:cs="Arial"/>
          <w:color w:val="000000"/>
          <w:sz w:val="20"/>
          <w:lang w:eastAsia="nl-NL"/>
        </w:rPr>
      </w:pPr>
      <w:r>
        <w:rPr>
          <w:rFonts w:cs="Arial"/>
          <w:sz w:val="20"/>
        </w:rPr>
        <w:t>Results from the PCA demonstrated four different perspectives on wetland restoration (Table 2). Four components with Eigen values larger than 1 were found, explaining 67.5 % of the total variance (Kaiser-Meyer-</w:t>
      </w:r>
      <w:proofErr w:type="spellStart"/>
      <w:r>
        <w:rPr>
          <w:rFonts w:cs="Arial"/>
          <w:sz w:val="20"/>
        </w:rPr>
        <w:t>Olkin</w:t>
      </w:r>
      <w:proofErr w:type="spellEnd"/>
      <w:r>
        <w:rPr>
          <w:rFonts w:cs="Arial"/>
          <w:sz w:val="20"/>
        </w:rPr>
        <w:t xml:space="preserve"> measure of sampling adequacy, KMO=0.700; Bartlett’s test of </w:t>
      </w:r>
      <w:proofErr w:type="spellStart"/>
      <w:r>
        <w:rPr>
          <w:rFonts w:cs="Arial"/>
          <w:sz w:val="20"/>
        </w:rPr>
        <w:t>sphericity</w:t>
      </w:r>
      <w:proofErr w:type="spellEnd"/>
      <w:r>
        <w:rPr>
          <w:rFonts w:cs="Arial"/>
          <w:sz w:val="20"/>
        </w:rPr>
        <w:t xml:space="preserve">, </w:t>
      </w:r>
      <w:r w:rsidRPr="00F43ABF">
        <w:rPr>
          <w:rFonts w:cs="Arial"/>
          <w:color w:val="000000"/>
          <w:sz w:val="20"/>
          <w:lang w:val="nl-NL" w:eastAsia="nl-NL"/>
        </w:rPr>
        <w:t>χ</w:t>
      </w:r>
      <w:r w:rsidRPr="00F43ABF">
        <w:rPr>
          <w:rFonts w:cs="Arial"/>
          <w:color w:val="000000"/>
          <w:sz w:val="20"/>
          <w:lang w:eastAsia="nl-NL"/>
        </w:rPr>
        <w:t>²</w:t>
      </w:r>
      <w:r>
        <w:rPr>
          <w:rFonts w:cs="Arial"/>
          <w:color w:val="000000"/>
          <w:sz w:val="20"/>
          <w:lang w:eastAsia="nl-NL"/>
        </w:rPr>
        <w:t xml:space="preserve">=285.605, </w:t>
      </w:r>
      <w:proofErr w:type="spellStart"/>
      <w:r>
        <w:rPr>
          <w:rFonts w:cs="Arial"/>
          <w:color w:val="000000"/>
          <w:sz w:val="20"/>
          <w:lang w:eastAsia="nl-NL"/>
        </w:rPr>
        <w:t>df</w:t>
      </w:r>
      <w:proofErr w:type="spellEnd"/>
      <w:r>
        <w:rPr>
          <w:rFonts w:cs="Arial"/>
          <w:color w:val="000000"/>
          <w:sz w:val="20"/>
          <w:lang w:eastAsia="nl-NL"/>
        </w:rPr>
        <w:t xml:space="preserve"> =45, p&lt;0.001). The </w:t>
      </w:r>
      <w:proofErr w:type="spellStart"/>
      <w:r>
        <w:rPr>
          <w:rFonts w:cs="Arial"/>
          <w:color w:val="000000"/>
          <w:sz w:val="20"/>
          <w:lang w:eastAsia="nl-NL"/>
        </w:rPr>
        <w:t>Promax</w:t>
      </w:r>
      <w:proofErr w:type="spellEnd"/>
      <w:r>
        <w:rPr>
          <w:rFonts w:cs="Arial"/>
          <w:color w:val="000000"/>
          <w:sz w:val="20"/>
          <w:lang w:eastAsia="nl-NL"/>
        </w:rPr>
        <w:t xml:space="preserve"> component correlation matrix indicated a slight correlation (r</w:t>
      </w:r>
      <w:r w:rsidRPr="00F43ABF">
        <w:rPr>
          <w:rFonts w:cs="Arial"/>
          <w:color w:val="000000"/>
          <w:sz w:val="20"/>
          <w:lang w:eastAsia="nl-NL"/>
        </w:rPr>
        <w:t>²</w:t>
      </w:r>
      <w:r>
        <w:rPr>
          <w:rFonts w:cs="Arial"/>
          <w:color w:val="000000"/>
          <w:sz w:val="20"/>
          <w:lang w:eastAsia="nl-NL"/>
        </w:rPr>
        <w:t xml:space="preserve">=0,389) between the first and the second component. </w:t>
      </w:r>
    </w:p>
    <w:p w:rsidR="003F789A" w:rsidRDefault="003F789A" w:rsidP="00E55058">
      <w:pPr>
        <w:tabs>
          <w:tab w:val="left" w:pos="880"/>
        </w:tabs>
        <w:spacing w:after="0" w:line="360" w:lineRule="auto"/>
        <w:rPr>
          <w:rFonts w:cs="Arial"/>
          <w:color w:val="000000"/>
          <w:sz w:val="20"/>
          <w:lang w:eastAsia="nl-NL"/>
        </w:rPr>
      </w:pPr>
    </w:p>
    <w:p w:rsidR="003F789A" w:rsidRDefault="003F789A" w:rsidP="00E55058">
      <w:pPr>
        <w:tabs>
          <w:tab w:val="left" w:pos="880"/>
        </w:tabs>
        <w:spacing w:after="0" w:line="360" w:lineRule="auto"/>
        <w:rPr>
          <w:rFonts w:cs="Arial"/>
          <w:color w:val="000000"/>
          <w:sz w:val="20"/>
          <w:lang w:eastAsia="nl-NL"/>
        </w:rPr>
      </w:pPr>
      <w:r>
        <w:rPr>
          <w:rFonts w:cs="Arial"/>
          <w:color w:val="000000"/>
          <w:sz w:val="20"/>
          <w:lang w:eastAsia="nl-NL"/>
        </w:rPr>
        <w:t xml:space="preserve">The first component explained 32.5 % of the variance and can be understood as supporting wetland restoration from a </w:t>
      </w:r>
      <w:r w:rsidRPr="00711E57">
        <w:rPr>
          <w:rFonts w:cs="Arial"/>
          <w:i/>
          <w:color w:val="000000"/>
          <w:sz w:val="20"/>
          <w:lang w:eastAsia="nl-NL"/>
        </w:rPr>
        <w:t>cultural perspective</w:t>
      </w:r>
      <w:r>
        <w:rPr>
          <w:rFonts w:cs="Arial"/>
          <w:color w:val="000000"/>
          <w:sz w:val="20"/>
          <w:lang w:eastAsia="nl-NL"/>
        </w:rPr>
        <w:t xml:space="preserve">, emphasizing the cultural importance of wetlands for people.  Both the statements ‘Wetlands are important for the local population’ and ‘Wetlands are important for downstream communities’ correlated positively with this component This indicates the importance of cultural benefits such as recreation and tourism. The statement ‘the restoration of wetlands limits the economic growth of this region’ correlated negatively with this component, suggesting a ‘nature and people’ perspective, in which wetland restoration and economic development do not necessarily conflict.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line="360" w:lineRule="auto"/>
        <w:rPr>
          <w:rFonts w:cs="Arial"/>
          <w:color w:val="000000"/>
          <w:sz w:val="20"/>
          <w:lang w:eastAsia="nl-NL"/>
        </w:rPr>
      </w:pPr>
      <w:r>
        <w:rPr>
          <w:rFonts w:cs="Arial"/>
          <w:color w:val="000000"/>
          <w:sz w:val="20"/>
          <w:lang w:eastAsia="nl-NL"/>
        </w:rPr>
        <w:t xml:space="preserve">The second component explained 14.5 % of the variance and can be explained as supporting wetland restoration from an </w:t>
      </w:r>
      <w:r w:rsidRPr="00711E57">
        <w:rPr>
          <w:rFonts w:cs="Arial"/>
          <w:i/>
          <w:color w:val="000000"/>
          <w:sz w:val="20"/>
          <w:lang w:eastAsia="nl-NL"/>
        </w:rPr>
        <w:t>eco-centric perspective</w:t>
      </w:r>
      <w:r>
        <w:rPr>
          <w:rFonts w:cs="Arial"/>
          <w:color w:val="000000"/>
          <w:sz w:val="20"/>
          <w:lang w:eastAsia="nl-NL"/>
        </w:rPr>
        <w:t>, with a focus on the importance of wetlands for plants and animals. No correlation was found with any of the ES variables, which may indicate that this perspective sees wetlands as ‘nature for itself’, without making strong links with benefits for people. This is confirmed by the positive correlation of the statement “wetlands should not be drained for agricultural purposes”.</w:t>
      </w:r>
    </w:p>
    <w:p w:rsidR="003F789A" w:rsidRDefault="003F789A" w:rsidP="00E55058">
      <w:pPr>
        <w:tabs>
          <w:tab w:val="left" w:pos="880"/>
        </w:tabs>
        <w:spacing w:line="360" w:lineRule="auto"/>
        <w:rPr>
          <w:rFonts w:cs="Arial"/>
          <w:color w:val="000000"/>
          <w:sz w:val="20"/>
          <w:lang w:eastAsia="nl-NL"/>
        </w:rPr>
      </w:pPr>
    </w:p>
    <w:p w:rsidR="003F789A" w:rsidRDefault="003F789A" w:rsidP="00FE055B">
      <w:pPr>
        <w:keepNext/>
        <w:widowControl w:val="0"/>
        <w:tabs>
          <w:tab w:val="left" w:pos="880"/>
        </w:tabs>
        <w:suppressAutoHyphens w:val="0"/>
        <w:spacing w:line="360" w:lineRule="auto"/>
        <w:rPr>
          <w:rFonts w:cs="Arial"/>
          <w:color w:val="000000"/>
          <w:sz w:val="20"/>
          <w:lang w:eastAsia="nl-NL"/>
        </w:rPr>
      </w:pPr>
      <w:r>
        <w:rPr>
          <w:rFonts w:cs="Arial"/>
          <w:color w:val="000000"/>
          <w:sz w:val="20"/>
          <w:lang w:eastAsia="nl-NL"/>
        </w:rPr>
        <w:t xml:space="preserve">The third component explained 10.5 % of the variance and can be understood as viewing wetland restoration from an </w:t>
      </w:r>
      <w:r w:rsidRPr="00711E57">
        <w:rPr>
          <w:rFonts w:cs="Arial"/>
          <w:i/>
          <w:color w:val="000000"/>
          <w:sz w:val="20"/>
          <w:lang w:eastAsia="nl-NL"/>
        </w:rPr>
        <w:t>economic perspective</w:t>
      </w:r>
      <w:r>
        <w:rPr>
          <w:rFonts w:cs="Arial"/>
          <w:color w:val="000000"/>
          <w:sz w:val="20"/>
          <w:lang w:eastAsia="nl-NL"/>
        </w:rPr>
        <w:t xml:space="preserve">. Appreciation of provisioning services correlated with this component, while appreciation of regulating services correlated negatively with this component. As the statements concerning the importance of wetlands did not strongly correlate (either positively or negatively) with this component, it is difficult to judge whether this component indicates a negative or positive attitude toward wetland restoration. </w:t>
      </w:r>
    </w:p>
    <w:p w:rsidR="003F789A" w:rsidRPr="00EE70FA" w:rsidRDefault="003F789A" w:rsidP="00FE055B">
      <w:pPr>
        <w:keepNext/>
        <w:widowControl w:val="0"/>
        <w:tabs>
          <w:tab w:val="left" w:pos="880"/>
        </w:tabs>
        <w:suppressAutoHyphens w:val="0"/>
        <w:spacing w:after="0" w:line="360" w:lineRule="auto"/>
        <w:rPr>
          <w:rFonts w:cs="Arial"/>
          <w:color w:val="000000"/>
          <w:sz w:val="20"/>
          <w:lang w:eastAsia="nl-NL"/>
        </w:rPr>
      </w:pPr>
    </w:p>
    <w:p w:rsidR="003F789A" w:rsidRDefault="003F789A" w:rsidP="00FE055B">
      <w:pPr>
        <w:keepNext/>
        <w:widowControl w:val="0"/>
        <w:tabs>
          <w:tab w:val="left" w:pos="880"/>
        </w:tabs>
        <w:suppressAutoHyphens w:val="0"/>
        <w:spacing w:after="0" w:line="240" w:lineRule="auto"/>
        <w:rPr>
          <w:rFonts w:cs="Arial"/>
          <w:color w:val="000000"/>
          <w:sz w:val="20"/>
          <w:lang w:eastAsia="nl-NL"/>
        </w:rPr>
      </w:pPr>
      <w:r w:rsidRPr="00FE055B">
        <w:rPr>
          <w:rFonts w:cs="Arial"/>
          <w:b/>
          <w:color w:val="000000"/>
          <w:sz w:val="20"/>
          <w:lang w:eastAsia="nl-NL"/>
        </w:rPr>
        <w:t xml:space="preserve">Table 2  </w:t>
      </w:r>
      <w:r w:rsidRPr="00FE055B">
        <w:rPr>
          <w:rFonts w:cs="Arial"/>
          <w:color w:val="000000"/>
          <w:sz w:val="20"/>
          <w:lang w:eastAsia="nl-NL"/>
        </w:rPr>
        <w:t>Four perspectives were identified linking attitude toward wetland restoration and values for ES categories. Loadings between -0.4 and 0.4 are excluded from the table.</w:t>
      </w:r>
    </w:p>
    <w:p w:rsidR="003F789A" w:rsidRPr="00FE055B" w:rsidRDefault="003F789A" w:rsidP="00FE055B">
      <w:pPr>
        <w:keepNext/>
        <w:widowControl w:val="0"/>
        <w:tabs>
          <w:tab w:val="left" w:pos="880"/>
        </w:tabs>
        <w:suppressAutoHyphens w:val="0"/>
        <w:spacing w:after="0" w:line="240" w:lineRule="auto"/>
        <w:rPr>
          <w:rFonts w:cs="Arial"/>
          <w:color w:val="000000"/>
          <w:sz w:val="20"/>
          <w:lang w:eastAsia="nl-NL"/>
        </w:rPr>
      </w:pPr>
    </w:p>
    <w:tbl>
      <w:tblPr>
        <w:tblpPr w:leftFromText="141" w:rightFromText="141" w:vertAnchor="text" w:horzAnchor="margin" w:tblpY="82"/>
        <w:tblW w:w="9376" w:type="dxa"/>
        <w:tblCellMar>
          <w:left w:w="70" w:type="dxa"/>
          <w:right w:w="70" w:type="dxa"/>
        </w:tblCellMar>
        <w:tblLook w:val="00A0" w:firstRow="1" w:lastRow="0" w:firstColumn="1" w:lastColumn="0" w:noHBand="0" w:noVBand="0"/>
      </w:tblPr>
      <w:tblGrid>
        <w:gridCol w:w="4500"/>
        <w:gridCol w:w="1360"/>
        <w:gridCol w:w="1223"/>
        <w:gridCol w:w="1141"/>
        <w:gridCol w:w="1152"/>
      </w:tblGrid>
      <w:tr w:rsidR="003F789A" w:rsidRPr="00963613" w:rsidTr="00130171">
        <w:trPr>
          <w:trHeight w:val="544"/>
        </w:trPr>
        <w:tc>
          <w:tcPr>
            <w:tcW w:w="4547" w:type="dxa"/>
            <w:tcBorders>
              <w:top w:val="single" w:sz="12" w:space="0" w:color="000000"/>
              <w:left w:val="single" w:sz="4" w:space="0" w:color="FFFFFF"/>
              <w:bottom w:val="single" w:sz="12" w:space="0" w:color="000000"/>
              <w:right w:val="single" w:sz="12" w:space="0" w:color="FFFFFF"/>
            </w:tcBorders>
            <w:shd w:val="clear" w:color="auto" w:fill="FFFFFF"/>
            <w:vAlign w:val="center"/>
          </w:tcPr>
          <w:p w:rsidR="003F789A" w:rsidRPr="00C430D2" w:rsidRDefault="003F789A" w:rsidP="00FE055B">
            <w:pPr>
              <w:keepNext/>
              <w:widowControl w:val="0"/>
              <w:tabs>
                <w:tab w:val="left" w:pos="880"/>
              </w:tabs>
              <w:suppressAutoHyphens w:val="0"/>
              <w:spacing w:after="0" w:line="240" w:lineRule="auto"/>
              <w:rPr>
                <w:rFonts w:cs="Arial"/>
                <w:b/>
                <w:color w:val="000000"/>
                <w:sz w:val="18"/>
                <w:szCs w:val="18"/>
                <w:lang w:eastAsia="nl-NL"/>
              </w:rPr>
            </w:pPr>
            <w:r w:rsidRPr="00C430D2">
              <w:rPr>
                <w:rFonts w:cs="Arial"/>
                <w:b/>
                <w:color w:val="000000"/>
                <w:sz w:val="18"/>
                <w:szCs w:val="18"/>
                <w:lang w:eastAsia="nl-NL"/>
              </w:rPr>
              <w:t>Variables</w:t>
            </w:r>
          </w:p>
        </w:tc>
        <w:tc>
          <w:tcPr>
            <w:tcW w:w="1360" w:type="dxa"/>
            <w:tcBorders>
              <w:top w:val="single" w:sz="12" w:space="0" w:color="auto"/>
              <w:left w:val="single" w:sz="12" w:space="0" w:color="FFFFFF"/>
              <w:bottom w:val="single" w:sz="12" w:space="0" w:color="000000"/>
              <w:right w:val="single" w:sz="12" w:space="0" w:color="FFFFFF"/>
            </w:tcBorders>
            <w:shd w:val="clear" w:color="auto" w:fill="FFFFFF"/>
            <w:noWrap/>
            <w:vAlign w:val="bottom"/>
          </w:tcPr>
          <w:p w:rsidR="003F789A" w:rsidRPr="00465E70" w:rsidRDefault="003F789A" w:rsidP="00FE055B">
            <w:pPr>
              <w:keepNext/>
              <w:widowControl w:val="0"/>
              <w:tabs>
                <w:tab w:val="left" w:pos="880"/>
              </w:tabs>
              <w:suppressAutoHyphens w:val="0"/>
              <w:spacing w:after="0" w:line="240" w:lineRule="auto"/>
              <w:jc w:val="center"/>
              <w:rPr>
                <w:rFonts w:cs="Arial"/>
                <w:color w:val="000000"/>
                <w:sz w:val="18"/>
                <w:szCs w:val="18"/>
                <w:lang w:eastAsia="nl-NL"/>
              </w:rPr>
            </w:pPr>
            <w:r w:rsidRPr="00465E70">
              <w:rPr>
                <w:rFonts w:cs="Arial"/>
                <w:b/>
                <w:color w:val="000000"/>
                <w:sz w:val="18"/>
                <w:szCs w:val="18"/>
                <w:lang w:eastAsia="nl-NL"/>
              </w:rPr>
              <w:t>Cultural perspective</w:t>
            </w:r>
            <w:r w:rsidRPr="00465E70">
              <w:rPr>
                <w:rFonts w:cs="Arial"/>
                <w:color w:val="000000"/>
                <w:sz w:val="18"/>
                <w:szCs w:val="18"/>
                <w:lang w:eastAsia="nl-NL"/>
              </w:rPr>
              <w:t xml:space="preserve">  (32,5%)</w:t>
            </w:r>
          </w:p>
        </w:tc>
        <w:tc>
          <w:tcPr>
            <w:tcW w:w="1223" w:type="dxa"/>
            <w:tcBorders>
              <w:top w:val="single" w:sz="12" w:space="0" w:color="auto"/>
              <w:left w:val="single" w:sz="12" w:space="0" w:color="FFFFFF"/>
              <w:bottom w:val="single" w:sz="12" w:space="0" w:color="000000"/>
              <w:right w:val="single" w:sz="12" w:space="0" w:color="FFFFFF"/>
            </w:tcBorders>
            <w:shd w:val="clear" w:color="auto" w:fill="FFFFFF"/>
            <w:noWrap/>
            <w:vAlign w:val="bottom"/>
          </w:tcPr>
          <w:p w:rsidR="003F789A" w:rsidRPr="00465E70" w:rsidRDefault="003F789A" w:rsidP="00FE055B">
            <w:pPr>
              <w:keepNext/>
              <w:widowControl w:val="0"/>
              <w:tabs>
                <w:tab w:val="left" w:pos="880"/>
              </w:tabs>
              <w:suppressAutoHyphens w:val="0"/>
              <w:spacing w:after="0" w:line="240" w:lineRule="auto"/>
              <w:jc w:val="center"/>
              <w:rPr>
                <w:rFonts w:cs="Arial"/>
                <w:color w:val="000000"/>
                <w:sz w:val="18"/>
                <w:szCs w:val="18"/>
                <w:lang w:eastAsia="nl-NL"/>
              </w:rPr>
            </w:pPr>
            <w:r w:rsidRPr="00465E70">
              <w:rPr>
                <w:rFonts w:cs="Arial"/>
                <w:b/>
                <w:color w:val="000000"/>
                <w:sz w:val="18"/>
                <w:szCs w:val="18"/>
                <w:lang w:eastAsia="nl-NL"/>
              </w:rPr>
              <w:t>Eco</w:t>
            </w:r>
            <w:r>
              <w:rPr>
                <w:rFonts w:cs="Arial"/>
                <w:b/>
                <w:color w:val="000000"/>
                <w:sz w:val="18"/>
                <w:szCs w:val="18"/>
                <w:lang w:eastAsia="nl-NL"/>
              </w:rPr>
              <w:t>-centric</w:t>
            </w:r>
            <w:r w:rsidRPr="00465E70">
              <w:rPr>
                <w:rFonts w:cs="Arial"/>
                <w:b/>
                <w:color w:val="000000"/>
                <w:sz w:val="18"/>
                <w:szCs w:val="18"/>
                <w:lang w:eastAsia="nl-NL"/>
              </w:rPr>
              <w:t xml:space="preserve"> perspective</w:t>
            </w:r>
            <w:r w:rsidRPr="00465E70">
              <w:rPr>
                <w:rFonts w:cs="Arial"/>
                <w:color w:val="000000"/>
                <w:sz w:val="18"/>
                <w:szCs w:val="18"/>
                <w:lang w:eastAsia="nl-NL"/>
              </w:rPr>
              <w:t xml:space="preserve"> (14,5%)</w:t>
            </w:r>
          </w:p>
        </w:tc>
        <w:tc>
          <w:tcPr>
            <w:tcW w:w="1094" w:type="dxa"/>
            <w:tcBorders>
              <w:top w:val="single" w:sz="12" w:space="0" w:color="auto"/>
              <w:left w:val="single" w:sz="12" w:space="0" w:color="FFFFFF"/>
              <w:bottom w:val="single" w:sz="12" w:space="0" w:color="000000"/>
              <w:right w:val="single" w:sz="12" w:space="0" w:color="FFFFFF"/>
            </w:tcBorders>
            <w:shd w:val="clear" w:color="auto" w:fill="FFFFFF"/>
            <w:noWrap/>
            <w:vAlign w:val="bottom"/>
          </w:tcPr>
          <w:p w:rsidR="003F789A" w:rsidRPr="005E0303"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465E70">
              <w:rPr>
                <w:rFonts w:cs="Arial"/>
                <w:color w:val="000000"/>
                <w:sz w:val="18"/>
                <w:szCs w:val="18"/>
                <w:lang w:eastAsia="nl-NL"/>
              </w:rPr>
              <w:t xml:space="preserve"> </w:t>
            </w:r>
            <w:r w:rsidRPr="00465E70">
              <w:rPr>
                <w:rFonts w:cs="Arial"/>
                <w:b/>
                <w:color w:val="000000"/>
                <w:sz w:val="18"/>
                <w:szCs w:val="18"/>
                <w:lang w:eastAsia="nl-NL"/>
              </w:rPr>
              <w:t>Economic perspective</w:t>
            </w:r>
            <w:r w:rsidRPr="00465E70">
              <w:rPr>
                <w:rFonts w:cs="Arial"/>
                <w:color w:val="000000"/>
                <w:sz w:val="18"/>
                <w:szCs w:val="18"/>
                <w:lang w:eastAsia="nl-NL"/>
              </w:rPr>
              <w:t xml:space="preserve"> (10,</w:t>
            </w:r>
            <w:r w:rsidRPr="005E0303">
              <w:rPr>
                <w:rFonts w:cs="Arial"/>
                <w:color w:val="000000"/>
                <w:sz w:val="18"/>
                <w:szCs w:val="18"/>
                <w:lang w:eastAsia="nl-NL"/>
              </w:rPr>
              <w:t>5%)</w:t>
            </w:r>
          </w:p>
        </w:tc>
        <w:tc>
          <w:tcPr>
            <w:tcW w:w="1152" w:type="dxa"/>
            <w:tcBorders>
              <w:top w:val="single" w:sz="12" w:space="0" w:color="auto"/>
              <w:left w:val="single" w:sz="12" w:space="0" w:color="FFFFFF"/>
              <w:bottom w:val="single" w:sz="12" w:space="0" w:color="000000"/>
              <w:right w:val="single" w:sz="4" w:space="0" w:color="FFFFFF"/>
            </w:tcBorders>
            <w:shd w:val="clear" w:color="auto" w:fill="FFFFFF"/>
            <w:noWrap/>
            <w:vAlign w:val="bottom"/>
          </w:tcPr>
          <w:p w:rsidR="003F789A" w:rsidRPr="005E0303" w:rsidRDefault="003F789A" w:rsidP="00FE055B">
            <w:pPr>
              <w:keepNext/>
              <w:widowControl w:val="0"/>
              <w:tabs>
                <w:tab w:val="left" w:pos="880"/>
              </w:tabs>
              <w:suppressAutoHyphens w:val="0"/>
              <w:spacing w:after="0" w:line="240" w:lineRule="auto"/>
              <w:rPr>
                <w:rFonts w:cs="Arial"/>
                <w:b/>
                <w:color w:val="000000"/>
                <w:sz w:val="18"/>
                <w:szCs w:val="18"/>
                <w:lang w:eastAsia="nl-NL"/>
              </w:rPr>
            </w:pPr>
            <w:r>
              <w:rPr>
                <w:rFonts w:cs="Arial"/>
                <w:b/>
                <w:color w:val="000000"/>
                <w:sz w:val="18"/>
                <w:szCs w:val="18"/>
                <w:lang w:eastAsia="nl-NL"/>
              </w:rPr>
              <w:t>N</w:t>
            </w:r>
            <w:r w:rsidRPr="005E0303">
              <w:rPr>
                <w:rFonts w:cs="Arial"/>
                <w:b/>
                <w:color w:val="000000"/>
                <w:sz w:val="18"/>
                <w:szCs w:val="18"/>
                <w:lang w:eastAsia="nl-NL"/>
              </w:rPr>
              <w:t>egative</w:t>
            </w:r>
          </w:p>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5E0303">
              <w:rPr>
                <w:rFonts w:cs="Arial"/>
                <w:b/>
                <w:color w:val="000000"/>
                <w:sz w:val="18"/>
                <w:szCs w:val="18"/>
                <w:lang w:eastAsia="nl-NL"/>
              </w:rPr>
              <w:t>perspective</w:t>
            </w:r>
            <w:r w:rsidRPr="005E0303">
              <w:rPr>
                <w:rFonts w:cs="Arial"/>
                <w:color w:val="000000"/>
                <w:sz w:val="18"/>
                <w:szCs w:val="18"/>
                <w:lang w:eastAsia="nl-NL"/>
              </w:rPr>
              <w:t xml:space="preserve"> (10</w:t>
            </w:r>
            <w:r w:rsidRPr="00DA1A6A">
              <w:rPr>
                <w:rFonts w:cs="Arial"/>
                <w:color w:val="000000"/>
                <w:sz w:val="18"/>
                <w:szCs w:val="18"/>
                <w:lang w:val="nl-NL" w:eastAsia="nl-NL"/>
              </w:rPr>
              <w:t>%)</w:t>
            </w:r>
          </w:p>
        </w:tc>
      </w:tr>
      <w:tr w:rsidR="003F789A" w:rsidRPr="00963613" w:rsidTr="00130171">
        <w:trPr>
          <w:trHeight w:val="498"/>
        </w:trPr>
        <w:tc>
          <w:tcPr>
            <w:tcW w:w="4547" w:type="dxa"/>
            <w:tcBorders>
              <w:top w:val="nil"/>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Pr>
                <w:rFonts w:cs="Arial"/>
                <w:color w:val="000000"/>
                <w:sz w:val="18"/>
                <w:szCs w:val="18"/>
                <w:lang w:eastAsia="nl-NL"/>
              </w:rPr>
              <w:t>W</w:t>
            </w:r>
            <w:r w:rsidRPr="00DA1A6A">
              <w:rPr>
                <w:rFonts w:cs="Arial"/>
                <w:color w:val="000000"/>
                <w:sz w:val="18"/>
                <w:szCs w:val="18"/>
                <w:lang w:eastAsia="nl-NL"/>
              </w:rPr>
              <w:t>etlands are important for the local population</w:t>
            </w:r>
          </w:p>
        </w:tc>
        <w:tc>
          <w:tcPr>
            <w:tcW w:w="1360" w:type="dxa"/>
            <w:tcBorders>
              <w:top w:val="nil"/>
              <w:left w:val="nil"/>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.769</w:t>
            </w:r>
          </w:p>
        </w:tc>
        <w:tc>
          <w:tcPr>
            <w:tcW w:w="1223" w:type="dxa"/>
            <w:tcBorders>
              <w:top w:val="nil"/>
              <w:left w:val="single" w:sz="4" w:space="0" w:color="FFFFFF"/>
              <w:bottom w:val="nil"/>
              <w:right w:val="single" w:sz="4" w:space="0" w:color="FFFFFF"/>
            </w:tcBorders>
            <w:shd w:val="clear" w:color="auto" w:fill="FFFFFF"/>
            <w:noWrap/>
            <w:vAlign w:val="center"/>
          </w:tcPr>
          <w:p w:rsidR="003F789A" w:rsidRPr="00DA1A6A"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r>
      <w:tr w:rsidR="003F789A" w:rsidRPr="00963613" w:rsidTr="00130171">
        <w:trPr>
          <w:trHeight w:val="483"/>
        </w:trPr>
        <w:tc>
          <w:tcPr>
            <w:tcW w:w="4547" w:type="dxa"/>
            <w:tcBorders>
              <w:top w:val="nil"/>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Pr>
                <w:rFonts w:cs="Arial"/>
                <w:color w:val="000000"/>
                <w:sz w:val="18"/>
                <w:szCs w:val="18"/>
                <w:lang w:eastAsia="nl-NL"/>
              </w:rPr>
              <w:t>Wetlands</w:t>
            </w:r>
            <w:r w:rsidRPr="00DA1A6A">
              <w:rPr>
                <w:rFonts w:cs="Arial"/>
                <w:color w:val="000000"/>
                <w:sz w:val="18"/>
                <w:szCs w:val="18"/>
                <w:lang w:eastAsia="nl-NL"/>
              </w:rPr>
              <w:t xml:space="preserve"> are important for downstream communities</w:t>
            </w:r>
          </w:p>
        </w:tc>
        <w:tc>
          <w:tcPr>
            <w:tcW w:w="1360" w:type="dxa"/>
            <w:tcBorders>
              <w:top w:val="nil"/>
              <w:left w:val="nil"/>
              <w:bottom w:val="single" w:sz="4" w:space="0" w:color="FFFFFF"/>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.748</w:t>
            </w:r>
          </w:p>
        </w:tc>
        <w:tc>
          <w:tcPr>
            <w:tcW w:w="1223" w:type="dxa"/>
            <w:tcBorders>
              <w:top w:val="nil"/>
              <w:left w:val="single" w:sz="4" w:space="0" w:color="FFFFFF"/>
              <w:bottom w:val="single" w:sz="4" w:space="0" w:color="FFFFFF"/>
              <w:right w:val="single" w:sz="4" w:space="0" w:color="FFFFFF"/>
            </w:tcBorders>
            <w:shd w:val="clear" w:color="auto" w:fill="FFFFFF"/>
            <w:noWrap/>
            <w:vAlign w:val="center"/>
          </w:tcPr>
          <w:p w:rsidR="003F789A" w:rsidRPr="00DA1A6A"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r>
      <w:tr w:rsidR="003F789A" w:rsidRPr="00963613" w:rsidTr="00130171">
        <w:trPr>
          <w:trHeight w:val="302"/>
        </w:trPr>
        <w:tc>
          <w:tcPr>
            <w:tcW w:w="4547" w:type="dxa"/>
            <w:tcBorders>
              <w:top w:val="nil"/>
              <w:left w:val="single" w:sz="4" w:space="0" w:color="FFFFFF"/>
              <w:bottom w:val="single" w:sz="4" w:space="0" w:color="FFFFFF"/>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Pr>
                <w:rFonts w:cs="Arial"/>
                <w:color w:val="000000"/>
                <w:sz w:val="18"/>
                <w:szCs w:val="18"/>
                <w:lang w:eastAsia="nl-NL"/>
              </w:rPr>
              <w:t>V</w:t>
            </w:r>
            <w:r w:rsidRPr="00DA1A6A">
              <w:rPr>
                <w:rFonts w:cs="Arial"/>
                <w:color w:val="000000"/>
                <w:sz w:val="18"/>
                <w:szCs w:val="18"/>
                <w:lang w:eastAsia="nl-NL"/>
              </w:rPr>
              <w:t xml:space="preserve">alue for </w:t>
            </w:r>
            <w:r>
              <w:rPr>
                <w:rFonts w:cs="Arial"/>
                <w:color w:val="000000"/>
                <w:sz w:val="18"/>
                <w:szCs w:val="18"/>
                <w:lang w:eastAsia="nl-NL"/>
              </w:rPr>
              <w:t>RES</w:t>
            </w:r>
          </w:p>
        </w:tc>
        <w:tc>
          <w:tcPr>
            <w:tcW w:w="1360" w:type="dxa"/>
            <w:tcBorders>
              <w:top w:val="nil"/>
              <w:left w:val="nil"/>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.740</w:t>
            </w:r>
          </w:p>
        </w:tc>
        <w:tc>
          <w:tcPr>
            <w:tcW w:w="1223"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r>
      <w:tr w:rsidR="003F789A" w:rsidRPr="00963613" w:rsidTr="00130171">
        <w:trPr>
          <w:trHeight w:val="483"/>
        </w:trPr>
        <w:tc>
          <w:tcPr>
            <w:tcW w:w="4547" w:type="dxa"/>
            <w:tcBorders>
              <w:top w:val="single" w:sz="4" w:space="0" w:color="FFFFFF"/>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Pr>
                <w:rFonts w:cs="Arial"/>
                <w:color w:val="000000"/>
                <w:sz w:val="18"/>
                <w:szCs w:val="18"/>
                <w:lang w:eastAsia="nl-NL"/>
              </w:rPr>
              <w:t>W</w:t>
            </w:r>
            <w:r w:rsidRPr="00DA1A6A">
              <w:rPr>
                <w:rFonts w:cs="Arial"/>
                <w:color w:val="000000"/>
                <w:sz w:val="18"/>
                <w:szCs w:val="18"/>
                <w:lang w:eastAsia="nl-NL"/>
              </w:rPr>
              <w:t>etlands should not be drained for agricultural purposes</w:t>
            </w:r>
          </w:p>
        </w:tc>
        <w:tc>
          <w:tcPr>
            <w:tcW w:w="1360" w:type="dxa"/>
            <w:tcBorders>
              <w:top w:val="nil"/>
              <w:left w:val="nil"/>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223" w:type="dxa"/>
            <w:tcBorders>
              <w:top w:val="nil"/>
              <w:left w:val="single" w:sz="4" w:space="0" w:color="FFFFFF"/>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.824</w:t>
            </w: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r>
      <w:tr w:rsidR="003F789A" w:rsidRPr="00963613" w:rsidTr="00130171">
        <w:trPr>
          <w:trHeight w:val="483"/>
        </w:trPr>
        <w:tc>
          <w:tcPr>
            <w:tcW w:w="4547" w:type="dxa"/>
            <w:tcBorders>
              <w:top w:val="nil"/>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xml:space="preserve">Wetlands are an </w:t>
            </w:r>
            <w:r>
              <w:rPr>
                <w:rFonts w:cs="Arial"/>
                <w:color w:val="000000"/>
                <w:sz w:val="18"/>
                <w:szCs w:val="18"/>
                <w:lang w:eastAsia="nl-NL"/>
              </w:rPr>
              <w:t>important</w:t>
            </w:r>
            <w:r w:rsidRPr="00DA1A6A">
              <w:rPr>
                <w:rFonts w:cs="Arial"/>
                <w:color w:val="000000"/>
                <w:sz w:val="18"/>
                <w:szCs w:val="18"/>
                <w:lang w:eastAsia="nl-NL"/>
              </w:rPr>
              <w:t xml:space="preserve"> part of the landscape in this region</w:t>
            </w:r>
          </w:p>
        </w:tc>
        <w:tc>
          <w:tcPr>
            <w:tcW w:w="1360" w:type="dxa"/>
            <w:tcBorders>
              <w:top w:val="nil"/>
              <w:left w:val="nil"/>
              <w:bottom w:val="nil"/>
              <w:right w:val="single" w:sz="4" w:space="0" w:color="FFFFFF"/>
            </w:tcBorders>
            <w:shd w:val="clear" w:color="auto" w:fill="FFFFFF"/>
            <w:noWrap/>
            <w:vAlign w:val="center"/>
          </w:tcPr>
          <w:p w:rsidR="003F789A" w:rsidRPr="002215EE" w:rsidRDefault="003F789A" w:rsidP="00FE055B">
            <w:pPr>
              <w:keepNext/>
              <w:widowControl w:val="0"/>
              <w:tabs>
                <w:tab w:val="left" w:pos="880"/>
              </w:tabs>
              <w:suppressAutoHyphens w:val="0"/>
              <w:spacing w:after="0" w:line="240" w:lineRule="auto"/>
              <w:jc w:val="right"/>
              <w:rPr>
                <w:rFonts w:cs="Arial"/>
                <w:color w:val="000000"/>
                <w:sz w:val="18"/>
                <w:szCs w:val="18"/>
                <w:lang w:eastAsia="nl-NL"/>
              </w:rPr>
            </w:pPr>
          </w:p>
        </w:tc>
        <w:tc>
          <w:tcPr>
            <w:tcW w:w="1223" w:type="dxa"/>
            <w:tcBorders>
              <w:top w:val="nil"/>
              <w:left w:val="single" w:sz="4" w:space="0" w:color="FFFFFF"/>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.636</w:t>
            </w: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r>
      <w:tr w:rsidR="003F789A" w:rsidRPr="00963613" w:rsidTr="00130171">
        <w:trPr>
          <w:trHeight w:val="302"/>
        </w:trPr>
        <w:tc>
          <w:tcPr>
            <w:tcW w:w="4547" w:type="dxa"/>
            <w:tcBorders>
              <w:top w:val="nil"/>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xml:space="preserve">Wetlands are important for </w:t>
            </w:r>
            <w:r>
              <w:rPr>
                <w:rFonts w:cs="Arial"/>
                <w:color w:val="000000"/>
                <w:sz w:val="18"/>
                <w:szCs w:val="18"/>
                <w:lang w:eastAsia="nl-NL"/>
              </w:rPr>
              <w:t>plants and animals</w:t>
            </w:r>
          </w:p>
        </w:tc>
        <w:tc>
          <w:tcPr>
            <w:tcW w:w="1360" w:type="dxa"/>
            <w:tcBorders>
              <w:top w:val="nil"/>
              <w:left w:val="nil"/>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223" w:type="dxa"/>
            <w:tcBorders>
              <w:top w:val="nil"/>
              <w:left w:val="single" w:sz="4" w:space="0" w:color="FFFFFF"/>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.628</w:t>
            </w:r>
          </w:p>
        </w:tc>
        <w:tc>
          <w:tcPr>
            <w:tcW w:w="1094"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152" w:type="dxa"/>
            <w:tcBorders>
              <w:top w:val="nil"/>
              <w:left w:val="single" w:sz="4" w:space="0" w:color="FFFFFF"/>
              <w:bottom w:val="nil"/>
              <w:right w:val="single" w:sz="4" w:space="0" w:color="FFFFFF"/>
            </w:tcBorders>
            <w:shd w:val="clear" w:color="auto" w:fill="FFFFFF"/>
            <w:noWrap/>
            <w:vAlign w:val="center"/>
          </w:tcPr>
          <w:p w:rsidR="003F789A" w:rsidRPr="00DA1A6A"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Pr>
                <w:rFonts w:cs="Arial"/>
                <w:color w:val="000000"/>
                <w:sz w:val="18"/>
                <w:szCs w:val="18"/>
                <w:lang w:val="nl-NL" w:eastAsia="nl-NL"/>
              </w:rPr>
              <w:t>-.425</w:t>
            </w:r>
          </w:p>
        </w:tc>
      </w:tr>
      <w:tr w:rsidR="003F789A" w:rsidRPr="00963613" w:rsidTr="00130171">
        <w:trPr>
          <w:trHeight w:val="302"/>
        </w:trPr>
        <w:tc>
          <w:tcPr>
            <w:tcW w:w="4547" w:type="dxa"/>
            <w:tcBorders>
              <w:top w:val="nil"/>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xml:space="preserve">Value for </w:t>
            </w:r>
            <w:r>
              <w:rPr>
                <w:rFonts w:cs="Arial"/>
                <w:color w:val="000000"/>
                <w:sz w:val="18"/>
                <w:szCs w:val="18"/>
                <w:lang w:eastAsia="nl-NL"/>
              </w:rPr>
              <w:t>RES</w:t>
            </w:r>
          </w:p>
        </w:tc>
        <w:tc>
          <w:tcPr>
            <w:tcW w:w="1360" w:type="dxa"/>
            <w:tcBorders>
              <w:top w:val="nil"/>
              <w:left w:val="nil"/>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223"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094" w:type="dxa"/>
            <w:tcBorders>
              <w:top w:val="nil"/>
              <w:left w:val="single" w:sz="4" w:space="0" w:color="FFFFFF"/>
              <w:bottom w:val="nil"/>
              <w:right w:val="single" w:sz="4" w:space="0" w:color="FFFFFF"/>
            </w:tcBorders>
            <w:shd w:val="clear" w:color="auto" w:fill="FFFFFF"/>
            <w:noWrap/>
            <w:vAlign w:val="center"/>
          </w:tcPr>
          <w:p w:rsidR="003F789A" w:rsidRPr="00831704" w:rsidRDefault="003F789A" w:rsidP="00FE055B">
            <w:pPr>
              <w:keepNext/>
              <w:widowControl w:val="0"/>
              <w:tabs>
                <w:tab w:val="left" w:pos="880"/>
              </w:tabs>
              <w:suppressAutoHyphens w:val="0"/>
              <w:spacing w:after="0" w:line="240" w:lineRule="auto"/>
              <w:jc w:val="right"/>
              <w:rPr>
                <w:rFonts w:cs="Arial"/>
                <w:color w:val="000000"/>
                <w:sz w:val="18"/>
                <w:szCs w:val="18"/>
                <w:lang w:eastAsia="nl-NL"/>
              </w:rPr>
            </w:pPr>
            <w:r w:rsidRPr="00E0372E">
              <w:rPr>
                <w:rFonts w:cs="Arial"/>
                <w:color w:val="000000"/>
                <w:sz w:val="18"/>
                <w:szCs w:val="18"/>
                <w:lang w:eastAsia="nl-NL"/>
              </w:rPr>
              <w:t>-.803</w:t>
            </w:r>
          </w:p>
        </w:tc>
        <w:tc>
          <w:tcPr>
            <w:tcW w:w="1152" w:type="dxa"/>
            <w:tcBorders>
              <w:top w:val="nil"/>
              <w:left w:val="single" w:sz="4" w:space="0" w:color="FFFFFF"/>
              <w:bottom w:val="nil"/>
              <w:right w:val="single" w:sz="4" w:space="0" w:color="FFFFFF"/>
            </w:tcBorders>
            <w:shd w:val="clear" w:color="auto" w:fill="FFFFFF"/>
            <w:vAlign w:val="center"/>
          </w:tcPr>
          <w:p w:rsidR="003F789A" w:rsidRPr="00831704"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E0372E">
              <w:rPr>
                <w:rFonts w:cs="Arial"/>
                <w:color w:val="000000"/>
                <w:sz w:val="18"/>
                <w:szCs w:val="18"/>
                <w:lang w:eastAsia="nl-NL"/>
              </w:rPr>
              <w:t> </w:t>
            </w:r>
          </w:p>
        </w:tc>
      </w:tr>
      <w:tr w:rsidR="003F789A" w:rsidRPr="00963613" w:rsidTr="00130171">
        <w:trPr>
          <w:trHeight w:val="302"/>
        </w:trPr>
        <w:tc>
          <w:tcPr>
            <w:tcW w:w="4547" w:type="dxa"/>
            <w:tcBorders>
              <w:top w:val="nil"/>
              <w:left w:val="single" w:sz="4" w:space="0" w:color="FFFFFF"/>
              <w:bottom w:val="single" w:sz="4" w:space="0" w:color="FFFFFF"/>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xml:space="preserve">Value for </w:t>
            </w:r>
            <w:r>
              <w:rPr>
                <w:rFonts w:cs="Arial"/>
                <w:color w:val="000000"/>
                <w:sz w:val="18"/>
                <w:szCs w:val="18"/>
                <w:lang w:eastAsia="nl-NL"/>
              </w:rPr>
              <w:t>PES</w:t>
            </w:r>
          </w:p>
        </w:tc>
        <w:tc>
          <w:tcPr>
            <w:tcW w:w="1360" w:type="dxa"/>
            <w:tcBorders>
              <w:top w:val="nil"/>
              <w:left w:val="nil"/>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223"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094" w:type="dxa"/>
            <w:tcBorders>
              <w:top w:val="nil"/>
              <w:left w:val="single" w:sz="4" w:space="0" w:color="FFFFFF"/>
              <w:bottom w:val="nil"/>
              <w:right w:val="single" w:sz="4" w:space="0" w:color="FFFFFF"/>
            </w:tcBorders>
            <w:shd w:val="clear" w:color="auto" w:fill="FFFFFF"/>
            <w:noWrap/>
            <w:vAlign w:val="center"/>
          </w:tcPr>
          <w:p w:rsidR="003F789A" w:rsidRPr="00831704" w:rsidRDefault="003F789A" w:rsidP="00FE055B">
            <w:pPr>
              <w:keepNext/>
              <w:widowControl w:val="0"/>
              <w:tabs>
                <w:tab w:val="left" w:pos="880"/>
              </w:tabs>
              <w:suppressAutoHyphens w:val="0"/>
              <w:spacing w:after="0" w:line="240" w:lineRule="auto"/>
              <w:jc w:val="right"/>
              <w:rPr>
                <w:rFonts w:cs="Arial"/>
                <w:color w:val="000000"/>
                <w:sz w:val="18"/>
                <w:szCs w:val="18"/>
                <w:lang w:eastAsia="nl-NL"/>
              </w:rPr>
            </w:pPr>
            <w:r w:rsidRPr="00E0372E">
              <w:rPr>
                <w:rFonts w:cs="Arial"/>
                <w:color w:val="000000"/>
                <w:sz w:val="18"/>
                <w:szCs w:val="18"/>
                <w:lang w:eastAsia="nl-NL"/>
              </w:rPr>
              <w:t>.661</w:t>
            </w:r>
          </w:p>
        </w:tc>
        <w:tc>
          <w:tcPr>
            <w:tcW w:w="1152" w:type="dxa"/>
            <w:tcBorders>
              <w:top w:val="nil"/>
              <w:left w:val="single" w:sz="4" w:space="0" w:color="FFFFFF"/>
              <w:bottom w:val="nil"/>
              <w:right w:val="single" w:sz="4" w:space="0" w:color="FFFFFF"/>
            </w:tcBorders>
            <w:shd w:val="clear" w:color="auto" w:fill="FFFFFF"/>
            <w:vAlign w:val="center"/>
          </w:tcPr>
          <w:p w:rsidR="003F789A" w:rsidRPr="00831704"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E0372E">
              <w:rPr>
                <w:rFonts w:cs="Arial"/>
                <w:color w:val="000000"/>
                <w:sz w:val="18"/>
                <w:szCs w:val="18"/>
                <w:lang w:eastAsia="nl-NL"/>
              </w:rPr>
              <w:t> </w:t>
            </w:r>
          </w:p>
        </w:tc>
      </w:tr>
      <w:tr w:rsidR="003F789A" w:rsidRPr="00963613" w:rsidTr="00130171">
        <w:trPr>
          <w:trHeight w:val="483"/>
        </w:trPr>
        <w:tc>
          <w:tcPr>
            <w:tcW w:w="4547" w:type="dxa"/>
            <w:tcBorders>
              <w:top w:val="single" w:sz="4" w:space="0" w:color="FFFFFF"/>
              <w:left w:val="single" w:sz="4" w:space="0" w:color="FFFFFF"/>
              <w:bottom w:val="nil"/>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xml:space="preserve">The restoration of wetlands </w:t>
            </w:r>
            <w:r>
              <w:rPr>
                <w:rFonts w:cs="Arial"/>
                <w:color w:val="000000"/>
                <w:sz w:val="18"/>
                <w:szCs w:val="18"/>
                <w:lang w:eastAsia="nl-NL"/>
              </w:rPr>
              <w:t xml:space="preserve">limits </w:t>
            </w:r>
            <w:r w:rsidRPr="00DA1A6A">
              <w:rPr>
                <w:rFonts w:cs="Arial"/>
                <w:color w:val="000000"/>
                <w:sz w:val="18"/>
                <w:szCs w:val="18"/>
                <w:lang w:eastAsia="nl-NL"/>
              </w:rPr>
              <w:t>the economic growth of this region</w:t>
            </w:r>
          </w:p>
        </w:tc>
        <w:tc>
          <w:tcPr>
            <w:tcW w:w="1360" w:type="dxa"/>
            <w:tcBorders>
              <w:top w:val="nil"/>
              <w:left w:val="nil"/>
              <w:bottom w:val="nil"/>
              <w:right w:val="single" w:sz="4" w:space="0" w:color="FFFFFF"/>
            </w:tcBorders>
            <w:shd w:val="clear" w:color="auto" w:fill="FFFFFF"/>
            <w:noWrap/>
            <w:vAlign w:val="center"/>
          </w:tcPr>
          <w:p w:rsidR="003F789A" w:rsidRPr="00DA1A6A"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Pr>
                <w:rFonts w:cs="Arial"/>
                <w:color w:val="000000"/>
                <w:sz w:val="18"/>
                <w:szCs w:val="18"/>
                <w:lang w:val="nl-NL" w:eastAsia="nl-NL"/>
              </w:rPr>
              <w:t>-.511</w:t>
            </w:r>
          </w:p>
        </w:tc>
        <w:tc>
          <w:tcPr>
            <w:tcW w:w="1223" w:type="dxa"/>
            <w:tcBorders>
              <w:top w:val="nil"/>
              <w:left w:val="single" w:sz="4" w:space="0" w:color="FFFFFF"/>
              <w:bottom w:val="nil"/>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val="nl-NL" w:eastAsia="nl-NL"/>
              </w:rPr>
            </w:pPr>
            <w:r w:rsidRPr="00DA1A6A">
              <w:rPr>
                <w:rFonts w:cs="Arial"/>
                <w:color w:val="000000"/>
                <w:sz w:val="18"/>
                <w:szCs w:val="18"/>
                <w:lang w:val="nl-NL" w:eastAsia="nl-NL"/>
              </w:rPr>
              <w:t> </w:t>
            </w:r>
          </w:p>
        </w:tc>
        <w:tc>
          <w:tcPr>
            <w:tcW w:w="1094" w:type="dxa"/>
            <w:tcBorders>
              <w:top w:val="nil"/>
              <w:left w:val="single" w:sz="4" w:space="0" w:color="FFFFFF"/>
              <w:bottom w:val="nil"/>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.548</w:t>
            </w:r>
          </w:p>
        </w:tc>
        <w:tc>
          <w:tcPr>
            <w:tcW w:w="1152" w:type="dxa"/>
            <w:tcBorders>
              <w:top w:val="nil"/>
              <w:left w:val="single" w:sz="4" w:space="0" w:color="FFFFFF"/>
              <w:bottom w:val="nil"/>
              <w:right w:val="single" w:sz="4" w:space="0" w:color="FFFFFF"/>
            </w:tcBorders>
            <w:shd w:val="clear" w:color="auto" w:fill="FFFFFF"/>
            <w:noWrap/>
            <w:vAlign w:val="center"/>
          </w:tcPr>
          <w:p w:rsidR="003F789A" w:rsidRPr="00DA1A6A"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p>
        </w:tc>
      </w:tr>
      <w:tr w:rsidR="003F789A" w:rsidRPr="00963613" w:rsidTr="00130171">
        <w:trPr>
          <w:trHeight w:val="498"/>
        </w:trPr>
        <w:tc>
          <w:tcPr>
            <w:tcW w:w="4547" w:type="dxa"/>
            <w:tcBorders>
              <w:top w:val="nil"/>
              <w:left w:val="single" w:sz="4" w:space="0" w:color="FFFFFF"/>
              <w:bottom w:val="single" w:sz="12" w:space="0" w:color="000000"/>
              <w:right w:val="single" w:sz="12" w:space="0" w:color="000000"/>
            </w:tcBorders>
            <w:shd w:val="clear" w:color="auto" w:fill="FFFFFF"/>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The restoration of wetlands is a waste of valuable land</w:t>
            </w:r>
          </w:p>
        </w:tc>
        <w:tc>
          <w:tcPr>
            <w:tcW w:w="1360" w:type="dxa"/>
            <w:tcBorders>
              <w:top w:val="nil"/>
              <w:left w:val="nil"/>
              <w:bottom w:val="single" w:sz="12" w:space="0" w:color="000000"/>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223" w:type="dxa"/>
            <w:tcBorders>
              <w:top w:val="nil"/>
              <w:left w:val="single" w:sz="4" w:space="0" w:color="FFFFFF"/>
              <w:bottom w:val="single" w:sz="12" w:space="0" w:color="000000"/>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094" w:type="dxa"/>
            <w:tcBorders>
              <w:top w:val="nil"/>
              <w:left w:val="single" w:sz="4" w:space="0" w:color="FFFFFF"/>
              <w:bottom w:val="single" w:sz="12" w:space="0" w:color="000000"/>
              <w:right w:val="single" w:sz="4" w:space="0" w:color="FFFFFF"/>
            </w:tcBorders>
            <w:shd w:val="clear" w:color="auto" w:fill="FFFFFF"/>
            <w:vAlign w:val="center"/>
          </w:tcPr>
          <w:p w:rsidR="003F789A" w:rsidRPr="00DA1A6A" w:rsidRDefault="003F789A" w:rsidP="00FE055B">
            <w:pPr>
              <w:keepNext/>
              <w:widowControl w:val="0"/>
              <w:tabs>
                <w:tab w:val="left" w:pos="880"/>
              </w:tabs>
              <w:suppressAutoHyphens w:val="0"/>
              <w:spacing w:after="0" w:line="240" w:lineRule="auto"/>
              <w:rPr>
                <w:rFonts w:cs="Arial"/>
                <w:color w:val="000000"/>
                <w:sz w:val="18"/>
                <w:szCs w:val="18"/>
                <w:lang w:eastAsia="nl-NL"/>
              </w:rPr>
            </w:pPr>
            <w:r w:rsidRPr="00DA1A6A">
              <w:rPr>
                <w:rFonts w:cs="Arial"/>
                <w:color w:val="000000"/>
                <w:sz w:val="18"/>
                <w:szCs w:val="18"/>
                <w:lang w:eastAsia="nl-NL"/>
              </w:rPr>
              <w:t> </w:t>
            </w:r>
          </w:p>
        </w:tc>
        <w:tc>
          <w:tcPr>
            <w:tcW w:w="1152" w:type="dxa"/>
            <w:tcBorders>
              <w:top w:val="nil"/>
              <w:left w:val="single" w:sz="4" w:space="0" w:color="FFFFFF"/>
              <w:bottom w:val="single" w:sz="12" w:space="0" w:color="000000"/>
              <w:right w:val="single" w:sz="4" w:space="0" w:color="FFFFFF"/>
            </w:tcBorders>
            <w:shd w:val="clear" w:color="auto" w:fill="FFFFFF"/>
            <w:noWrap/>
            <w:vAlign w:val="center"/>
          </w:tcPr>
          <w:p w:rsidR="003F789A" w:rsidRPr="000170DF" w:rsidRDefault="003F789A" w:rsidP="00FE055B">
            <w:pPr>
              <w:keepNext/>
              <w:widowControl w:val="0"/>
              <w:tabs>
                <w:tab w:val="left" w:pos="880"/>
              </w:tabs>
              <w:suppressAutoHyphens w:val="0"/>
              <w:spacing w:after="0" w:line="240" w:lineRule="auto"/>
              <w:jc w:val="right"/>
              <w:rPr>
                <w:rFonts w:cs="Arial"/>
                <w:color w:val="000000"/>
                <w:sz w:val="18"/>
                <w:szCs w:val="18"/>
                <w:lang w:val="nl-NL" w:eastAsia="nl-NL"/>
              </w:rPr>
            </w:pPr>
            <w:r w:rsidRPr="000170DF">
              <w:rPr>
                <w:rFonts w:cs="Arial"/>
                <w:color w:val="000000"/>
                <w:sz w:val="18"/>
                <w:szCs w:val="18"/>
                <w:lang w:val="nl-NL" w:eastAsia="nl-NL"/>
              </w:rPr>
              <w:t>.878</w:t>
            </w:r>
          </w:p>
        </w:tc>
      </w:tr>
    </w:tbl>
    <w:p w:rsidR="003F789A" w:rsidRDefault="003F789A" w:rsidP="00FE055B">
      <w:pPr>
        <w:keepNext/>
        <w:widowControl w:val="0"/>
        <w:tabs>
          <w:tab w:val="left" w:pos="880"/>
        </w:tabs>
        <w:suppressAutoHyphens w:val="0"/>
        <w:spacing w:line="360" w:lineRule="auto"/>
        <w:rPr>
          <w:rFonts w:cs="Arial"/>
          <w:sz w:val="20"/>
        </w:rPr>
      </w:pPr>
    </w:p>
    <w:p w:rsidR="003F789A" w:rsidRDefault="003F789A" w:rsidP="00FE055B">
      <w:pPr>
        <w:keepNext/>
        <w:widowControl w:val="0"/>
        <w:tabs>
          <w:tab w:val="left" w:pos="880"/>
        </w:tabs>
        <w:suppressAutoHyphens w:val="0"/>
        <w:spacing w:after="0" w:line="360" w:lineRule="auto"/>
        <w:rPr>
          <w:rFonts w:cs="Arial"/>
          <w:color w:val="000000"/>
          <w:sz w:val="20"/>
          <w:lang w:eastAsia="nl-NL"/>
        </w:rPr>
      </w:pPr>
      <w:r>
        <w:rPr>
          <w:rFonts w:cs="Arial"/>
          <w:color w:val="000000"/>
          <w:sz w:val="20"/>
          <w:lang w:eastAsia="nl-NL"/>
        </w:rPr>
        <w:t>The final component demonstrates a negative attitude towards wetland restoration. There was no correlation with appreciation for ESs, suggesting that a negative perspective may go together with low values for all ESs, i.e. seeing nature as providing no benefits.</w:t>
      </w:r>
    </w:p>
    <w:p w:rsidR="003F789A" w:rsidRDefault="003F789A" w:rsidP="00FE055B">
      <w:pPr>
        <w:keepNext/>
        <w:widowControl w:val="0"/>
        <w:tabs>
          <w:tab w:val="left" w:pos="880"/>
        </w:tabs>
        <w:suppressAutoHyphens w:val="0"/>
        <w:spacing w:after="0" w:line="360" w:lineRule="auto"/>
        <w:ind w:firstLine="720"/>
        <w:rPr>
          <w:rFonts w:cs="Arial"/>
          <w:color w:val="000000"/>
          <w:sz w:val="20"/>
          <w:lang w:eastAsia="nl-NL"/>
        </w:rPr>
      </w:pPr>
    </w:p>
    <w:p w:rsidR="003F789A" w:rsidRDefault="003F789A" w:rsidP="00E55058">
      <w:pPr>
        <w:widowControl w:val="0"/>
        <w:tabs>
          <w:tab w:val="left" w:pos="880"/>
        </w:tabs>
        <w:suppressAutoHyphens w:val="0"/>
        <w:spacing w:after="0" w:line="360" w:lineRule="auto"/>
        <w:rPr>
          <w:rFonts w:cs="Arial"/>
          <w:color w:val="000000"/>
          <w:sz w:val="20"/>
          <w:lang w:eastAsia="nl-NL"/>
        </w:rPr>
      </w:pPr>
      <w:r>
        <w:rPr>
          <w:rFonts w:cs="Arial"/>
          <w:color w:val="000000"/>
          <w:sz w:val="20"/>
          <w:lang w:eastAsia="nl-NL"/>
        </w:rPr>
        <w:t xml:space="preserve">Using a one-way ANOVA we tested for differences between the user groups for all components. No significant differences were found for component 2 and 4.  We did find significant differences between </w:t>
      </w:r>
      <w:r>
        <w:rPr>
          <w:rFonts w:cs="Arial"/>
          <w:color w:val="000000"/>
          <w:sz w:val="20"/>
          <w:lang w:eastAsia="nl-NL"/>
        </w:rPr>
        <w:lastRenderedPageBreak/>
        <w:t xml:space="preserve">the user groups for component 1 (F(2,99)=5.985,p&lt;0.01) and component 3 (F(2,99)=4.126, p&lt;0.05). For component 1, the Tukey post-hoc test revealed a significant difference between farmers and fishermen (p&lt;0.01): whereas farmers had mostly negative scores for the cultural perspective, fishermen had mostly positive scores for the cultural perspective. For component 3, we found a significant difference between fishermen and residents (p&lt;0.05) and farmers and residents (p&lt;0.1): residents had lower scores for the economic perspective than did farmers and fishermen. </w:t>
      </w:r>
    </w:p>
    <w:p w:rsidR="003F789A" w:rsidRDefault="003F789A" w:rsidP="00E55058">
      <w:pPr>
        <w:tabs>
          <w:tab w:val="left" w:pos="880"/>
        </w:tabs>
        <w:spacing w:after="0" w:line="360" w:lineRule="auto"/>
        <w:rPr>
          <w:rFonts w:cs="Arial"/>
          <w:color w:val="000000"/>
          <w:sz w:val="20"/>
          <w:lang w:eastAsia="nl-NL"/>
        </w:rPr>
      </w:pPr>
    </w:p>
    <w:p w:rsidR="003F789A" w:rsidRDefault="008C4819" w:rsidP="00E55058">
      <w:pPr>
        <w:tabs>
          <w:tab w:val="left" w:pos="880"/>
        </w:tabs>
        <w:spacing w:line="360" w:lineRule="auto"/>
        <w:jc w:val="center"/>
        <w:rPr>
          <w:rFonts w:cs="Arial"/>
          <w:sz w:val="20"/>
        </w:rPr>
      </w:pPr>
      <w:r>
        <w:rPr>
          <w:rFonts w:cs="Arial"/>
          <w:noProof/>
          <w:sz w:val="20"/>
          <w:lang w:val="en-IE" w:eastAsia="en-IE"/>
        </w:rPr>
        <w:drawing>
          <wp:inline distT="0" distB="0" distL="0" distR="0">
            <wp:extent cx="5798820" cy="3579495"/>
            <wp:effectExtent l="0" t="0" r="0" b="1905"/>
            <wp:docPr id="46" name="Picture 46"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5.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8820" cy="3579495"/>
                    </a:xfrm>
                    <a:prstGeom prst="rect">
                      <a:avLst/>
                    </a:prstGeom>
                    <a:noFill/>
                    <a:ln>
                      <a:noFill/>
                    </a:ln>
                  </pic:spPr>
                </pic:pic>
              </a:graphicData>
            </a:graphic>
          </wp:inline>
        </w:drawing>
      </w:r>
    </w:p>
    <w:p w:rsidR="003F789A" w:rsidRDefault="003F789A" w:rsidP="00E55058">
      <w:pPr>
        <w:tabs>
          <w:tab w:val="left" w:pos="880"/>
        </w:tabs>
        <w:spacing w:line="360" w:lineRule="auto"/>
        <w:jc w:val="center"/>
        <w:rPr>
          <w:rFonts w:cs="Arial"/>
          <w:sz w:val="18"/>
          <w:szCs w:val="18"/>
        </w:rPr>
      </w:pPr>
      <w:r w:rsidRPr="00B75DA4">
        <w:rPr>
          <w:rFonts w:cs="Arial"/>
          <w:b/>
          <w:sz w:val="18"/>
          <w:szCs w:val="18"/>
        </w:rPr>
        <w:t xml:space="preserve">Fig 5. </w:t>
      </w:r>
      <w:r w:rsidRPr="00B75DA4">
        <w:rPr>
          <w:rFonts w:cs="Arial"/>
          <w:sz w:val="18"/>
          <w:szCs w:val="18"/>
        </w:rPr>
        <w:t xml:space="preserve">Scatterplots of PCA scores for each respondent, categorized by the different user groups. </w:t>
      </w:r>
    </w:p>
    <w:p w:rsidR="003F789A" w:rsidRPr="00B75DA4" w:rsidRDefault="003F789A" w:rsidP="00E55058">
      <w:pPr>
        <w:tabs>
          <w:tab w:val="left" w:pos="880"/>
        </w:tabs>
        <w:spacing w:line="360" w:lineRule="auto"/>
        <w:jc w:val="center"/>
        <w:rPr>
          <w:rFonts w:cs="Arial"/>
          <w:sz w:val="18"/>
          <w:szCs w:val="18"/>
        </w:rPr>
      </w:pPr>
    </w:p>
    <w:p w:rsidR="003F789A" w:rsidRPr="000B2EC4" w:rsidRDefault="003F789A" w:rsidP="006D566F">
      <w:pPr>
        <w:pStyle w:val="Heading3"/>
        <w:numPr>
          <w:ilvl w:val="2"/>
          <w:numId w:val="43"/>
        </w:numPr>
        <w:tabs>
          <w:tab w:val="left" w:pos="880"/>
        </w:tabs>
      </w:pPr>
      <w:bookmarkStart w:id="153" w:name="_Toc436757163"/>
      <w:bookmarkStart w:id="154" w:name="_Toc436758102"/>
      <w:r>
        <w:t xml:space="preserve"> </w:t>
      </w:r>
      <w:bookmarkStart w:id="155" w:name="_Toc436915637"/>
      <w:bookmarkStart w:id="156" w:name="_Toc436916076"/>
      <w:r w:rsidRPr="00734230">
        <w:t>Discussion</w:t>
      </w:r>
      <w:bookmarkEnd w:id="153"/>
      <w:bookmarkEnd w:id="154"/>
      <w:bookmarkEnd w:id="155"/>
      <w:bookmarkEnd w:id="156"/>
    </w:p>
    <w:p w:rsidR="003F789A" w:rsidRDefault="003F789A" w:rsidP="00E55058">
      <w:pPr>
        <w:tabs>
          <w:tab w:val="left" w:pos="880"/>
        </w:tabs>
        <w:spacing w:after="0" w:line="360" w:lineRule="auto"/>
        <w:rPr>
          <w:rFonts w:cs="Arial"/>
          <w:b/>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Linking use, awareness and valuation of ESs</w:t>
      </w:r>
    </w:p>
    <w:p w:rsidR="003F789A" w:rsidRDefault="003F789A" w:rsidP="00E55058">
      <w:pPr>
        <w:tabs>
          <w:tab w:val="left" w:pos="880"/>
        </w:tabs>
        <w:spacing w:after="0" w:line="360" w:lineRule="auto"/>
        <w:rPr>
          <w:rFonts w:cs="Arial"/>
          <w:sz w:val="20"/>
        </w:rPr>
      </w:pPr>
      <w:r>
        <w:rPr>
          <w:rFonts w:cs="Arial"/>
          <w:sz w:val="20"/>
        </w:rPr>
        <w:t xml:space="preserve">Across the entire sample, we found a low appreciation for RES and a higher appreciation for cultural and PES. Our results show that farmers and fishermen were more aware of RES than were residents. As farmers and fishermen interact more closely with ecosystems than residents, they may indeed have a better understanding of ecological functions.  At the same time, our results demonstrate that despite this higher awareness of RES, farmers and fishermen did not place higher values on RES than the residents. </w:t>
      </w:r>
      <w:r w:rsidRPr="00830C3B">
        <w:rPr>
          <w:rFonts w:cs="Arial"/>
          <w:sz w:val="20"/>
        </w:rPr>
        <w:t>Regulating services may not</w:t>
      </w:r>
      <w:r>
        <w:rPr>
          <w:rFonts w:cs="Arial"/>
          <w:sz w:val="20"/>
        </w:rPr>
        <w:t xml:space="preserve"> have been</w:t>
      </w:r>
      <w:r w:rsidRPr="00830C3B">
        <w:rPr>
          <w:rFonts w:cs="Arial"/>
          <w:sz w:val="20"/>
        </w:rPr>
        <w:t xml:space="preserve"> considered important because </w:t>
      </w:r>
      <w:r>
        <w:rPr>
          <w:rFonts w:cs="Arial"/>
          <w:sz w:val="20"/>
        </w:rPr>
        <w:t xml:space="preserve">people </w:t>
      </w:r>
      <w:r w:rsidRPr="00830C3B">
        <w:rPr>
          <w:rFonts w:cs="Arial"/>
          <w:sz w:val="20"/>
        </w:rPr>
        <w:t xml:space="preserve">do not see the </w:t>
      </w:r>
      <w:r>
        <w:rPr>
          <w:rFonts w:cs="Arial"/>
          <w:sz w:val="20"/>
        </w:rPr>
        <w:t>end-benefit of such</w:t>
      </w:r>
      <w:r w:rsidRPr="00830C3B">
        <w:rPr>
          <w:rFonts w:cs="Arial"/>
          <w:sz w:val="20"/>
        </w:rPr>
        <w:t xml:space="preserve"> services or how </w:t>
      </w:r>
      <w:r>
        <w:rPr>
          <w:rFonts w:cs="Arial"/>
          <w:sz w:val="20"/>
        </w:rPr>
        <w:t>they are</w:t>
      </w:r>
      <w:r w:rsidRPr="00830C3B">
        <w:rPr>
          <w:rFonts w:cs="Arial"/>
          <w:sz w:val="20"/>
        </w:rPr>
        <w:t xml:space="preserve"> relevant </w:t>
      </w:r>
      <w:r>
        <w:rPr>
          <w:rFonts w:cs="Arial"/>
          <w:sz w:val="20"/>
        </w:rPr>
        <w:t>in their lives</w:t>
      </w:r>
      <w:r w:rsidRPr="00830C3B">
        <w:rPr>
          <w:rFonts w:cs="Arial"/>
          <w:sz w:val="20"/>
        </w:rPr>
        <w:t>.</w:t>
      </w:r>
      <w:r>
        <w:rPr>
          <w:rFonts w:cs="Arial"/>
          <w:sz w:val="20"/>
        </w:rPr>
        <w:t xml:space="preserve"> </w:t>
      </w:r>
    </w:p>
    <w:p w:rsidR="003F789A" w:rsidRPr="007440CF"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lastRenderedPageBreak/>
        <w:t xml:space="preserve">The importance of PES is not surprising given the economic dependency of famers and fisherman on the resources provided by </w:t>
      </w:r>
      <w:proofErr w:type="spellStart"/>
      <w:r>
        <w:rPr>
          <w:rFonts w:cs="Arial"/>
          <w:sz w:val="20"/>
        </w:rPr>
        <w:t>Persina</w:t>
      </w:r>
      <w:proofErr w:type="spellEnd"/>
      <w:r>
        <w:rPr>
          <w:rFonts w:cs="Arial"/>
          <w:sz w:val="20"/>
        </w:rPr>
        <w:t xml:space="preserve">. An emphasis on the importance of the material benefits of an ecosystem is common in areas where social and ecological systems are tightly linked </w:t>
      </w:r>
      <w:r>
        <w:rPr>
          <w:rFonts w:cs="Arial"/>
          <w:sz w:val="20"/>
        </w:rPr>
        <w:fldChar w:fldCharType="begin" w:fldLock="1"/>
      </w:r>
      <w:r>
        <w:rPr>
          <w:rFonts w:cs="Arial"/>
          <w:sz w:val="20"/>
        </w:rPr>
        <w:instrText>ADDIN CSL_CITATION { "citationItems" : [ { "id" : "ITEM-1", "itemData" : { "DOI" : "10.1080/08941920903360372", "ISSN" : "0894-1920", "author" : [ { "dropping-particle" : "", "family" : "Hartter", "given" : "Joel", "non-dropping-particle" : "", "parse-names" : false, "suffix" : "" } ], "container-title" : "Society &amp; Natural Resources", "id" : "ITEM-1", "issue" : "3", "issued" : { "date-parts" : [ [ "2010", "2", "2" ] ] }, "page" : "207-223", "title" : "Resource Use and Ecosystem Services in a Forest Park Landscape", "type" : "article-journal", "volume" : "23" }, "uris" : [ "http://www.mendeley.com/documents/?uuid=34971bea-da60-4b47-9f35-65f000b12359" ] }, { "id" : "ITEM-2", "itemData" : { "DOI" : "10.1017/S0376892907004225", "ISSN" : "0376-8929", "author" : [ { "dropping-particle" : "", "family" : "R\u00f6nnb\u00e4ck", "given" : "Patrik", "non-dropping-particle" : "", "parse-names" : false, "suffix" : "" }, { "dropping-particle" : "", "family" : "Crona", "given" : "Beatrice", "non-dropping-particle" : "", "parse-names" : false, "suffix" : "" }, { "dropping-particle" : "", "family" : "Ingwall", "given" : "Lisa", "non-dropping-particle" : "", "parse-names" : false, "suffix" : "" } ], "container-title" : "Environmental Conservation", "id" : "ITEM-2", "issue" : "04", "issued" : { "date-parts" : [ [ "2007", "12", "6" ] ] }, "page" : "313-324", "title" : "The return of ecosystem goods and services in replanted mangrove forests: perspectives from local communities in Kenya", "type" : "article-journal", "volume" : "34" }, "uris" : [ "http://www.mendeley.com/documents/?uuid=3549ee39-800f-413e-82e5-d6f29bdaea19" ] } ], "mendeley" : { "formattedCitation" : "(R\u00f6nnb\u00e4ck et al 2007; Hartter 2010)", "manualFormatting" : "(R\u00f6nnb\u00e4ck et al., 2007; Hartter, 2010)", "plainTextFormattedCitation" : "(R\u00f6nnb\u00e4ck et al 2007; Hartter 2010)", "previouslyFormattedCitation" : "(R\u00f6nnb\u00e4ck et al 2007; Hartter 2010)" }, "properties" : { "noteIndex" : 0 }, "schema" : "https://github.com/citation-style-language/schema/raw/master/csl-citation.json" }</w:instrText>
      </w:r>
      <w:r>
        <w:rPr>
          <w:rFonts w:cs="Arial"/>
          <w:sz w:val="20"/>
        </w:rPr>
        <w:fldChar w:fldCharType="separate"/>
      </w:r>
      <w:r>
        <w:rPr>
          <w:rFonts w:cs="Arial"/>
          <w:noProof/>
          <w:sz w:val="20"/>
        </w:rPr>
        <w:t>(Rönnbäck et al.,</w:t>
      </w:r>
      <w:r w:rsidRPr="00E06781">
        <w:rPr>
          <w:rFonts w:cs="Arial"/>
          <w:noProof/>
          <w:sz w:val="20"/>
        </w:rPr>
        <w:t xml:space="preserve"> 2007</w:t>
      </w:r>
      <w:r>
        <w:rPr>
          <w:rFonts w:cs="Arial"/>
          <w:noProof/>
          <w:sz w:val="20"/>
        </w:rPr>
        <w:t>; Hartter, 2010</w:t>
      </w:r>
      <w:r w:rsidRPr="00E06781">
        <w:rPr>
          <w:rFonts w:cs="Arial"/>
          <w:noProof/>
          <w:sz w:val="20"/>
        </w:rPr>
        <w:t>)</w:t>
      </w:r>
      <w:r>
        <w:rPr>
          <w:rFonts w:cs="Arial"/>
          <w:sz w:val="20"/>
        </w:rPr>
        <w:fldChar w:fldCharType="end"/>
      </w:r>
      <w:r>
        <w:rPr>
          <w:rFonts w:cs="Arial"/>
          <w:sz w:val="20"/>
        </w:rPr>
        <w:t xml:space="preserve">. This does not mean that immaterial benefits are disregarded or not considered important: our results show that RES were valued highly, by all user groups. This is in line with findings by </w:t>
      </w:r>
      <w:proofErr w:type="spellStart"/>
      <w:r>
        <w:rPr>
          <w:rFonts w:cs="Arial"/>
          <w:sz w:val="20"/>
        </w:rPr>
        <w:t>Calvet</w:t>
      </w:r>
      <w:proofErr w:type="spellEnd"/>
      <w:r>
        <w:rPr>
          <w:rFonts w:cs="Arial"/>
          <w:sz w:val="20"/>
        </w:rPr>
        <w:t xml:space="preserve">-Mir et al. (2011), who studied home-gardens and found that, despite the importance of the provision of food, the cultural services, such as cultural heritage and aesthetic values, ‘played a central role in explaining the societal importance attributed to home gardens’. What is particularly apparent in our study is that farmers and fishermen, who had high values for provisioning services, also found several RES more important than residents. Residents placed the highest values on aesthetic quality of the landscape, but fishermen placed high values on recreation and tourism. In addition, farmers and fishermen found existence values for biodiversity significantly more important than did the residents. This suggests that </w:t>
      </w:r>
      <w:r w:rsidRPr="00D2521F">
        <w:rPr>
          <w:rFonts w:cs="Arial"/>
          <w:sz w:val="20"/>
        </w:rPr>
        <w:t xml:space="preserve">even though there may be conflicts between agriculture/fishing and biodiversity, </w:t>
      </w:r>
      <w:r>
        <w:rPr>
          <w:rFonts w:cs="Arial"/>
          <w:sz w:val="20"/>
        </w:rPr>
        <w:t>being a farmer or fisherman</w:t>
      </w:r>
      <w:r w:rsidRPr="00D2521F">
        <w:rPr>
          <w:rFonts w:cs="Arial"/>
          <w:sz w:val="20"/>
        </w:rPr>
        <w:t xml:space="preserve"> may</w:t>
      </w:r>
      <w:r>
        <w:rPr>
          <w:rFonts w:cs="Arial"/>
          <w:sz w:val="20"/>
        </w:rPr>
        <w:t xml:space="preserve"> promote a sense of stewardship, by which a connection with nature can be established.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b/>
        </w:rPr>
      </w:pPr>
      <w:r>
        <w:rPr>
          <w:rFonts w:cs="Arial"/>
          <w:sz w:val="20"/>
        </w:rPr>
        <w:t xml:space="preserve">The importance fishermen assigned to both recreation and food provision may indicate the limitations of treating ESs as separate entities. This problem has been discussed by several other scholars who indicate that ESs are often interlinked, and so it may be difficult for people to value them separately </w:t>
      </w:r>
      <w:r>
        <w:rPr>
          <w:rFonts w:cs="Arial"/>
          <w:sz w:val="20"/>
        </w:rPr>
        <w:fldChar w:fldCharType="begin" w:fldLock="1"/>
      </w:r>
      <w:r>
        <w:rPr>
          <w:rFonts w:cs="Arial"/>
          <w:sz w:val="20"/>
        </w:rPr>
        <w:instrText>ADDIN CSL_CITATION { "citationItems" : [ { "id" : "ITEM-1", "itemData" : { "DOI" : "10.1016/j.ecoser.2014.08.003", "ISSN" : "22120416", "abstract" : "Ecosystem services, fundamental to livelihoods and well-being, are reshaping environmental management and policy. However, the behavioral dimensions of ecosystem services and the responses of ordinary people to the management of those services, is less well understood. The ecosystem services framework lends itself to understanding the relationship between ecosystems and human behavior. Ecosystem services, according to the psychological theory of motivational functionalism, are motivations\u2014the personal and social processes that initiate, direct and sustain human action. Thus, how people perceive, acquire and use ecosystem services influences the initiation, direction, and intensity of their behaviors. Profound understanding of how people perceive, acquire and use ecosystem services can help influence behavioral compliance with management and policy prescriptions. We use focus group interviewing to illustrate how ecosystem services relate to human behavior. Results show that people perceive, acquire and use indirect benefits while acquiring direct ecosystem services. Understanding indirect benefits has implications for the constitution and regulation of human behavior through ecosystem management and policy. Perceived ecosystem benefits, expressed in people\u05f3s own words and from their own frames of reference, can facilitate better valuation of ecosystem services and setting of prices, compliance with ecosystem management and policy directives, recruitment and retention of ecosystem stewards, development of use policies, enhancement of user experiences, and encouragement of pro-environmental attitudes and behaviors.", "author" : [ { "dropping-particle" : "", "family" : "Asah", "given" : "Stanley T.", "non-dropping-particle" : "", "parse-names" : false, "suffix" : "" }, { "dropping-particle" : "", "family" : "Guerry", "given" : "Anne D.", "non-dropping-particle" : "", "parse-names" : false, "suffix" : "" }, { "dropping-particle" : "", "family" : "Blahna", "given" : "Dale J.", "non-dropping-particle" : "", "parse-names" : false, "suffix" : "" }, { "dropping-particle" : "", "family" : "Lawler", "given" : "Joshua J.", "non-dropping-particle" : "", "parse-names" : false, "suffix" : "" } ], "container-title" : "Ecosystem Services", "id" : "ITEM-1", "issued" : { "date-parts" : [ [ "2014", "10" ] ] }, "title" : "Perception, acquisition and use of ecosystem services: Human behavior, and ecosystem management and policy implications", "type" : "article-journal" }, "uris" : [ "http://www.mendeley.com/documents/?uuid=a645325a-956d-4061-b8f7-85219367c98b" ] }, { "id" : "ITEM-2", "itemData" : { "DOI" : "10.1016/j.ecolecon.2014.09.023", "ISSN" : "09218009", "abstract" : "The concept of ecosystem services was formulated to create a market- and value-based foundation for sustainable natural resource use \u2014 by land users as well as by planners. The concise definition, measurement and especially valuation of nature's services is challenging, as values are notoriously fluid and there are dimensions of value other than the biophysically or economically measurable. However, the so-called \u201ccultural ecosystem services\u201d, which are intended as a way to integrate these immaterial aspects of valuation, pose challenges. It is not clear what they are, to what degree they impact on valuations, or to whom these valuations are most relevant; nor how to integrate them into existing value classifications. Focusing on services as fixed outcomes, rather than processes, prevents the concept from remaining open to local actors' dynamic changes in valuation. Additionally, they are often classified as a Eurocentric residual category for e.g. esthetic and recreational experiences nature provides. Building on anthropological theories and own cases from Angola, Namibia and Botswana, we suggest a definition of culture as a processual activity of meaning-making. By illustratively outlining the locality and culturality of land users' valuation we argue in favor of subjecting universalizing perspectives of ecosystem service valuation to new scrutiny.", "author" : [ { "dropping-particle" : "", "family" : "Pr\u00f6pper", "given" : "Michael", "non-dropping-particle" : "", "parse-names" : false, "suffix" : "" }, { "dropping-particle" : "", "family" : "Haupts", "given" : "Felix", "non-dropping-particle" : "", "parse-names" : false, "suffix" : "" } ], "container-title" : "Ecological Economics", "id" : "ITEM-2", "issued" : { "date-parts" : [ [ "2014", "12" ] ] }, "page" : "28-35", "title" : "The culturality of ecosystem services. Emphasizing process and transformation", "type" : "article-journal", "volume" : "108" }, "uris" : [ "http://www.mendeley.com/documents/?uuid=0db3435e-e25e-492d-91a6-a0bbf7902455" ] } ], "mendeley" : { "formattedCitation" : "(Asah et al 2014; Pr\u00f6pper and Haupts 2014)", "plainTextFormattedCitation" : "(Asah et al 2014; Pr\u00f6pper and Haupts 2014)", "previouslyFormattedCitation" : "(Asah et al 2014; Pr\u00f6pper and Haupts 2014)" }, "properties" : { "noteIndex" : 0 }, "schema" : "https://github.com/citation-style-language/schema/raw/master/csl-citation.json" }</w:instrText>
      </w:r>
      <w:r>
        <w:rPr>
          <w:rFonts w:cs="Arial"/>
          <w:sz w:val="20"/>
        </w:rPr>
        <w:fldChar w:fldCharType="separate"/>
      </w:r>
      <w:r w:rsidRPr="0047505E">
        <w:rPr>
          <w:rFonts w:cs="Arial"/>
          <w:noProof/>
          <w:sz w:val="20"/>
        </w:rPr>
        <w:t>(Asah et al 2014; Pröpper and Haupts 2014)</w:t>
      </w:r>
      <w:r>
        <w:rPr>
          <w:rFonts w:cs="Arial"/>
          <w:sz w:val="20"/>
        </w:rPr>
        <w:fldChar w:fldCharType="end"/>
      </w:r>
      <w:r>
        <w:rPr>
          <w:rFonts w:cs="Arial"/>
          <w:sz w:val="20"/>
        </w:rPr>
        <w:t>. The collection of food may be important for subsistence, but it may also contribute towards social cohesion. On a similar level, f</w:t>
      </w:r>
      <w:r w:rsidRPr="002C2850">
        <w:rPr>
          <w:rFonts w:cs="Arial"/>
          <w:sz w:val="20"/>
        </w:rPr>
        <w:t xml:space="preserve">ishing as an economic activity </w:t>
      </w:r>
      <w:r>
        <w:rPr>
          <w:rFonts w:cs="Arial"/>
          <w:sz w:val="20"/>
        </w:rPr>
        <w:t>may have multiple</w:t>
      </w:r>
      <w:r w:rsidRPr="002C2850">
        <w:rPr>
          <w:rFonts w:cs="Arial"/>
          <w:sz w:val="20"/>
        </w:rPr>
        <w:t xml:space="preserve"> dimensions</w:t>
      </w:r>
      <w:r>
        <w:rPr>
          <w:rFonts w:cs="Arial"/>
          <w:sz w:val="20"/>
        </w:rPr>
        <w:t>.</w:t>
      </w:r>
      <w:r w:rsidRPr="002C2850">
        <w:rPr>
          <w:rFonts w:cs="Arial"/>
          <w:sz w:val="20"/>
        </w:rPr>
        <w:t xml:space="preserve"> Future </w:t>
      </w:r>
      <w:r>
        <w:rPr>
          <w:rFonts w:cs="Arial"/>
          <w:sz w:val="20"/>
        </w:rPr>
        <w:t xml:space="preserve">ES research </w:t>
      </w:r>
      <w:r w:rsidRPr="002C2850">
        <w:rPr>
          <w:rFonts w:cs="Arial"/>
          <w:sz w:val="20"/>
        </w:rPr>
        <w:t xml:space="preserve">should focus on identifying </w:t>
      </w:r>
      <w:r>
        <w:rPr>
          <w:rFonts w:cs="Arial"/>
          <w:sz w:val="20"/>
        </w:rPr>
        <w:t xml:space="preserve">the </w:t>
      </w:r>
      <w:r w:rsidRPr="002C2850">
        <w:rPr>
          <w:rFonts w:cs="Arial"/>
          <w:sz w:val="20"/>
        </w:rPr>
        <w:t xml:space="preserve">linkages between services and should </w:t>
      </w:r>
      <w:r>
        <w:rPr>
          <w:rFonts w:cs="Arial"/>
          <w:sz w:val="20"/>
        </w:rPr>
        <w:t>acknowledge</w:t>
      </w:r>
      <w:r w:rsidRPr="002C2850">
        <w:rPr>
          <w:rFonts w:cs="Arial"/>
          <w:sz w:val="20"/>
        </w:rPr>
        <w:t xml:space="preserve"> the myriad of ways with which people interact with nature, </w:t>
      </w:r>
      <w:r>
        <w:rPr>
          <w:rFonts w:cs="Arial"/>
          <w:sz w:val="20"/>
        </w:rPr>
        <w:t>both</w:t>
      </w:r>
      <w:r w:rsidRPr="002C2850">
        <w:rPr>
          <w:rFonts w:cs="Arial"/>
          <w:sz w:val="20"/>
        </w:rPr>
        <w:t xml:space="preserve"> physically</w:t>
      </w:r>
      <w:r>
        <w:rPr>
          <w:rFonts w:cs="Arial"/>
          <w:sz w:val="20"/>
        </w:rPr>
        <w:t xml:space="preserve"> and</w:t>
      </w:r>
      <w:r w:rsidRPr="002C2850">
        <w:rPr>
          <w:rFonts w:cs="Arial"/>
          <w:sz w:val="20"/>
        </w:rPr>
        <w:t xml:space="preserve"> mentally. Insight into how people connect with nature may provide us with the information necessary to strengthen </w:t>
      </w:r>
      <w:r>
        <w:rPr>
          <w:rFonts w:cs="Arial"/>
          <w:sz w:val="20"/>
        </w:rPr>
        <w:t>this</w:t>
      </w:r>
      <w:r w:rsidRPr="002C2850">
        <w:rPr>
          <w:rFonts w:cs="Arial"/>
          <w:sz w:val="20"/>
        </w:rPr>
        <w:t xml:space="preserve"> relationship, </w:t>
      </w:r>
      <w:r>
        <w:rPr>
          <w:rFonts w:cs="Arial"/>
          <w:sz w:val="20"/>
        </w:rPr>
        <w:t xml:space="preserve">thereby </w:t>
      </w:r>
      <w:r w:rsidRPr="002C2850">
        <w:rPr>
          <w:rFonts w:cs="Arial"/>
          <w:sz w:val="20"/>
        </w:rPr>
        <w:t xml:space="preserve">promoting a nature conservation ethic.    </w:t>
      </w:r>
    </w:p>
    <w:p w:rsidR="003F789A" w:rsidRDefault="003F789A" w:rsidP="00E55058">
      <w:pPr>
        <w:tabs>
          <w:tab w:val="left" w:pos="880"/>
        </w:tabs>
        <w:spacing w:after="0" w:line="360" w:lineRule="auto"/>
        <w:rPr>
          <w:rFonts w:cs="Arial"/>
          <w:i/>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Linking ESs to wetland types</w:t>
      </w:r>
    </w:p>
    <w:p w:rsidR="003F789A" w:rsidRDefault="003F789A" w:rsidP="00E55058">
      <w:pPr>
        <w:tabs>
          <w:tab w:val="left" w:pos="880"/>
        </w:tabs>
        <w:spacing w:after="0" w:line="360" w:lineRule="auto"/>
        <w:rPr>
          <w:rFonts w:cs="Arial"/>
          <w:sz w:val="20"/>
        </w:rPr>
      </w:pPr>
      <w:r w:rsidRPr="00F665ED">
        <w:rPr>
          <w:rFonts w:cs="Arial"/>
          <w:sz w:val="20"/>
        </w:rPr>
        <w:t xml:space="preserve">Previous ES studies have often related socio-cultural values to ESs provided by a </w:t>
      </w:r>
      <w:r>
        <w:rPr>
          <w:rFonts w:cs="Arial"/>
          <w:sz w:val="20"/>
        </w:rPr>
        <w:t>conservation area in general</w:t>
      </w:r>
      <w:r w:rsidRPr="00F665ED">
        <w:rPr>
          <w:rFonts w:cs="Arial"/>
          <w:sz w:val="20"/>
        </w:rPr>
        <w:t xml:space="preserve">, not differentiating between specific ecosystems or ecosystem components </w:t>
      </w:r>
      <w:r>
        <w:rPr>
          <w:rFonts w:cs="Arial"/>
          <w:sz w:val="20"/>
        </w:rPr>
        <w:fldChar w:fldCharType="begin" w:fldLock="1"/>
      </w:r>
      <w:r>
        <w:rPr>
          <w:rFonts w:cs="Arial"/>
          <w:sz w:val="20"/>
        </w:rPr>
        <w:instrText xml:space="preserve">ADDIN CSL_CITATION { "citationItems" : [ { "id" : "ITEM-1", "itemData" : { "DOI" : "10.1016/j.biocon.2013.08.013", "ISSN" : "00063207", "abstract" : "Finding common ground between local residents\u2019 livelihoods and the conservation of protected areas in developing countries has been considered a challenge. Recently, ecosystem services have been used as a framework to understand the benefits that protected areas provide local residents. In this study, we explore the role of ecosystem services in residents\u2019 relationships with Gaoligongshan Nature Reserve (GNR) in Yunnan, China. GNR is located in a biodiversity hotspot and in an area that has been affected severe droughts. Results show that the majority of people recognize ecosystem services as benefits from GNR, particularly regulating services such as the provision of water. Respondents who perceived regulating services were more likely to be older, male, of Yi ethnicity, more educated, and grow sugarcane but not corn. However, controlling for residents\u2019 knowledge about GNR, the effects of gender, age, and education decrease or disappear, while ethnicity and agricultural crops grown remain significant. This study demonstrates that people recognize common ground between their livelihoods and GNR and suggests that people\u2019s knowledge about GNR, cultural context, and agricultural experiences influence their appreciation of ecosystem services from GNR. This study highlights that protected area conservation, if conducted with awareness of people\u2019s already-existing perceptions of benefits, can begin with a discussion of win\u2013win scenarios.", "author" : [ { "dropping-particle" : "", "family" : "Allendorf", "given" : "T.D.", "non-dropping-particle" : "", "parse-names" : false, "suffix" : "" }, { "dropping-particle" : "", "family" : "Yang", "given" : "J.", "non-dropping-particle" : "", "parse-names" : false, "suffix" : "" } ], "container-title" : "Biological Conservation", "id" : "ITEM-1", "issued" : { "date-parts" : [ [ "2013", "11" ] ] }, "page" : "187-193", "title" : "The role of ecosystem services in park\u2013people relationships: The case of Gaoligongshan Nature Reserve in southwest China", "type" : "article-journal", "volume" : "167" }, "uris" : [ "http://www.mendeley.com/documents/?uuid=80ba57c5-27e8-4357-83b0-14864c8bed4b" ] }, { "id" : "ITEM-2", "itemData" : { "DOI" : "10.1016/j.jaridenv.2011.05.013", "ISSN" : "01401963", "author" : [ { "dropping-particle" : "", "family" : "Castro", "given" : "a.J.", "non-dropping-particle" : "", "parse-names" : false, "suffix" : "" }, { "dropping-particle" : "", "family" : "Mart\u00edn-L\u00f3pez", "given" : "B.", "non-dropping-particle" : "", "parse-names" : false, "suffix" : "" }, { "dropping-particle" : "", "family" : "Garc\u00eda-LLorente", "given" : "M.", "non-dropping-particle" : "", "parse-names" : false, "suffix" : "" }, { "dropping-particle" : "", "family" : "Aguilera", "given" : "P.a.", "non-dropping-particle" : "", "parse-names" : false, "suffix" : "" }, { "dropping-particle" : "", "family" : "L\u00f3pez", "given" : "E.", "non-dropping-particle" : "", "parse-names" : false, "suffix" : "" }, { "dropping-particle" : "", "family" : "Cabello", "given" : "J.", "non-dropping-particle" : "", "parse-names" : false, "suffix" : "" } ], "container-title" : "Journal of Arid Environments", "id" : "ITEM-2", "issue" : "11", "issued" : { "date-parts" : [ [ "2011", "11" ] ] }, "page" : "1201-1208", "publisher" : "Elsevier Ltd", "title" : "Social preferences regarding the delivery of ecosystem services in a semiarid Mediterranean region", "type" : "article-journal", "volume" : "75" }, "uris" : [ "http://www.mendeley.com/documents/?uuid=d0525dde-4434-447f-bfdd-d526dfffecb5" ] }, { "id" : "ITEM-3", "itemData" : { "DOI" : "10.1016/j.ecolind.2012.08.021", "ISSN" : "1470160X", "author" : [ { "dropping-particle" : "", "family" : "Petrosillo", "given" : "Irene", "non-dropping-particle" : "", "parse-names" : false, "suffix" : "" }, { "dropping-particle" : "", "family" : "Costanza", "given" : "Robert", "non-dropping-particle" : "", "parse-names" : false, "suffix" : "" }, { "dropping-particle" : "", "family" : "Aretano", "given" : "Roberta", "non-dropping-particle" : "", "parse-names" : false, "suffix" : "" }, { "dropping-particle" : "", "family" : "Zaccarelli", "given" : "Nicola", "non-dropping-particle" : "", "parse-names" : false, "suffix" : "" }, { "dropping-particle" : "", "family" : "Zurlini", "given" : "Giovanni", "non-dropping-particle" : "", "parse-names" : false, "suffix" : "" } ], "container-title" : "Ecological Indicators", "id" : "ITEM-3", "issued" : { "date-parts" : [ [ "2013", "1" ] ] }, "page" : "609-620", "publisher" : "Elsevier Ltd", "title" : "The use of subjective indicators to assess how natural and social capital support residents\u2019 quality of life in a small volcanic island", "type" : "article-journal", "volume" : "24" }, "uris" : [ "http://www.mendeley.com/documents/?uuid=1c94e03a-087d-4f7e-85c7-74cb77425c38" ] }, { "id" : "ITEM-4", "itemData" : { "DOI" : "http://dx.doi.org/10.1016/j.jaridenv.2013.05.007", "ISSN" : "0140-1963", "abstract" : "Abstract This research explores local resident perspectives on ecosystem services (ES) in the hyper-arid Arava Valley/Wadi Araba, which spans across both Israel and Jordan. Identifying and characterizing ES, an increasingly popular precursor for crafting sustainable natural resource management and land use policy, is an inherently multi-disciplinary endeavor. Our goal is to apply social research tools, in particular in-depth interviews with local residents, to understand their perspectives concerning ES. Since the research is conducted on two sides of an international border, it also illuminates the potential role of culture, nationality and economics in formulating perceptions on ES in deserts.  The results show that, although deserts are often considered to be lacking in ES, local residents feel that their environment is abundant in services, particularly cultural services. Furthermore, although they live in a nearly identical ecosystem, local residents from two sides of the border showed distinct differences, as well as some shared patterns, in how they use and value ES. The study highlights the importance of applying social methods for ES identification and characterization in tandem with other disciplinary approaches, in order to avoid common problems including disregard of the importance of social and cultural perspectives, leading to undervaluing of intangible cultural services.", "author" : [ { "dropping-particle" : "", "family" : "Sagie", "given" : "Hila", "non-dropping-particle" : "", "parse-names" : false, "suffix" : "" }, { "dropping-particle" : "", "family" : "Morris", "given" : "Avigail", "non-dropping-particle" : "", "parse-names" : false, "suffix" : "" }, { "dropping-particle" : "", "family" : "Rof\u00e8", "given" : "Yodan", "non-dropping-particle" : "", "parse-names" : false, "suffix" : "" }, { "dropping-particle" : "", "family" : "Orenstein", "given" : "Daniel E", "non-dropping-particle" : "", "parse-names" : false, "suffix" : "" }, { "dropping-particle" : "", "family" : "Groner", "given" : "Elli", "non-dropping-particle" : "", "parse-names" : false, "suffix" : "" } ], "container-title" : "Journal of Arid Environments", "id" : "ITEM-4", "issue" : "0", "issued" : { "date-parts" : [ [ "2013", "10" ] ] }, "page" : "38-48", "title" : "Cross-cultural perceptions of ecosystem services: A social inquiry on both sides of the Israeli\u2013Jordanian border of the Southern Arava Valley Desert", "type" : "article-journal", "volume" : "97" }, "uris" : [ "http://www.mendeley.com/documents/?uuid=1d733236-bdf8-406f-b471-72f552d560d9" ] }, { "id" : "ITEM-5", "itemData" : { "DOI" : "10.1016/j.ecoser.2012.07.006", "ISSN" : "22120416", "abstract" : "This paper aims to provide a conceptual analysis of cultural ecosystem services and how they are linked to the concepts of landscape, heritage and identity. It discusses how these cultural ecosystem services can be assessed and integrated into spatial and physical planning. The paper presents two case studies to shed light on the assessment process. A case study from Sweden combines an analysis of ecosystem services with methods for documenting cultural heritage values in landscapes. A second case study from the Arafura\u2013Timor Seas combines an analysis of cultural ecosystem services with methods for assessment of priority environmental concerns at the seascape scale. We demonstrate that the methods from cultural heritage conservation provide tools for the analysis of historical values as well as historical drivers of change in landscapes that can add time-depth to more spatially focused ecosystem assessments. We propose that methods for valuation of cultural heritage and identity in landscapes are integrated into assessments of ecosystem services to inform policy making and physical and spatial planning for sustainable management of ecosystems and landscapes. This could also provide an approach for bringing about integrated implementation of conventions and instruments from the environmental and cultural heritage fields, respectively.", "author" : [ { "dropping-particle" : "", "family" : "Tengberg", "given" : "Anna", "non-dropping-particle" : "", "parse-names" : false, "suffix" : "" }, { "dropping-particle" : "", "family" : "Fredholm", "given" : "Susanne", "non-dropping-particle" : "", "parse-names" : false, "suffix" : "" }, { "dropping-particle" : "", "family" : "Eliasson", "given" : "Ingegard", "non-dropping-particle" : "", "parse-names" : false, "suffix" : "" }, </w:instrText>
      </w:r>
      <w:r w:rsidRPr="000F1AC0">
        <w:rPr>
          <w:rFonts w:cs="Arial"/>
          <w:sz w:val="20"/>
          <w:lang w:val="nl-NL"/>
        </w:rPr>
        <w:instrText>{ "dropping-particle" : "", "family" : "Knez", "given" : "Igor", "non-dropping-particle" : "", "parse-names" : false, "suffix" : "" }, { "dropping-particle" : "", "family" : "Saltzman", "given" : "Katarina", "non-dropping-particle" : "", "parse-names" : false, "suffix" : "" }, { "dropping-particle" : "", "family" : "Wetterberg", "given" : "Ola", "non-dropping-particle" : "", "parse-names" : false, "suffix" : "" } ], "container-title" : "Ecosystem Services", "id" : "ITEM-5", "issued" : { "date-parts" : [ [ "2012", "12" ] ] }, "page" : "14-26", "title" : "Cultural ecosystem services provided by landscapes: Assessment of heritage values and identity", "type" : "article-journal", "volume" : "2" }, "uris" : [ "http://www.mendeley.com/documents/?uuid=428f4d07-72b7-49ad-bfae-b90c433c7572" ] } ], "mendeley" : { "formattedCitation" : "(Castro et al 2011; Tengberg et al 2012; Petrosillo et al 2013; Sagie et al 2013; Allendorf and Yang 2013)", "manualFormatting" : "(Castro et al., 2011; Tengberg et al., 2012; Allendorf &amp; Yang, 2013; Petrosillo et al., 2013; Sagie et al., 2013)", "plainTextFormattedCitation" : "(Castro et al 2011; Tengberg et al 2012; Petrosillo et al 2013; Sagie et al 2013; Allendorf and Yang 2013)", "previouslyFormattedCitation" : "(Castro et al 2011; Tengberg et al 2012; Petrosillo et al 2013; Sagie et al 2013; Allendorf and Yang 2013)" }, "properties" : { "noteIndex" : 0 }, "schema" : "https://github.com/citation-style-language/schema/raw/master/csl-citation.json" }</w:instrText>
      </w:r>
      <w:r>
        <w:rPr>
          <w:rFonts w:cs="Arial"/>
          <w:sz w:val="20"/>
        </w:rPr>
        <w:fldChar w:fldCharType="separate"/>
      </w:r>
      <w:r w:rsidRPr="007440CF">
        <w:rPr>
          <w:rFonts w:cs="Arial"/>
          <w:noProof/>
          <w:sz w:val="20"/>
          <w:lang w:val="nl-NL"/>
        </w:rPr>
        <w:t>(Castro et al., 2011;</w:t>
      </w:r>
      <w:r>
        <w:rPr>
          <w:rFonts w:cs="Arial"/>
          <w:noProof/>
          <w:sz w:val="20"/>
          <w:lang w:val="nl-NL"/>
        </w:rPr>
        <w:t xml:space="preserve"> </w:t>
      </w:r>
      <w:r w:rsidRPr="007440CF">
        <w:rPr>
          <w:rFonts w:cs="Arial"/>
          <w:noProof/>
          <w:sz w:val="20"/>
          <w:lang w:val="nl-NL"/>
        </w:rPr>
        <w:t>Tengberg et al., 2012</w:t>
      </w:r>
      <w:r>
        <w:rPr>
          <w:rFonts w:cs="Arial"/>
          <w:noProof/>
          <w:sz w:val="20"/>
          <w:lang w:val="nl-NL"/>
        </w:rPr>
        <w:t xml:space="preserve">; </w:t>
      </w:r>
      <w:r w:rsidRPr="007440CF">
        <w:rPr>
          <w:rFonts w:cs="Arial"/>
          <w:noProof/>
          <w:sz w:val="20"/>
          <w:lang w:val="nl-NL"/>
        </w:rPr>
        <w:t>Allendorf &amp; Yang, 2013; Petrosillo e</w:t>
      </w:r>
      <w:r>
        <w:rPr>
          <w:rFonts w:cs="Arial"/>
          <w:noProof/>
          <w:sz w:val="20"/>
          <w:lang w:val="nl-NL"/>
        </w:rPr>
        <w:t>t al., 2013; Sagie et al., 2013</w:t>
      </w:r>
      <w:r w:rsidRPr="007440CF">
        <w:rPr>
          <w:rFonts w:cs="Arial"/>
          <w:noProof/>
          <w:sz w:val="20"/>
          <w:lang w:val="nl-NL"/>
        </w:rPr>
        <w:t>)</w:t>
      </w:r>
      <w:r>
        <w:rPr>
          <w:rFonts w:cs="Arial"/>
          <w:sz w:val="20"/>
        </w:rPr>
        <w:fldChar w:fldCharType="end"/>
      </w:r>
      <w:r w:rsidRPr="007440CF">
        <w:rPr>
          <w:rFonts w:cs="Arial"/>
          <w:sz w:val="20"/>
          <w:lang w:val="nl-NL"/>
        </w:rPr>
        <w:t xml:space="preserve">. </w:t>
      </w:r>
      <w:r>
        <w:rPr>
          <w:rFonts w:cs="Arial"/>
          <w:sz w:val="20"/>
        </w:rPr>
        <w:t>Our results show</w:t>
      </w:r>
      <w:r w:rsidRPr="00F665ED">
        <w:rPr>
          <w:rFonts w:cs="Arial"/>
          <w:sz w:val="20"/>
        </w:rPr>
        <w:t xml:space="preserve"> that there is</w:t>
      </w:r>
      <w:r>
        <w:rPr>
          <w:rFonts w:cs="Arial"/>
          <w:sz w:val="20"/>
        </w:rPr>
        <w:t xml:space="preserve"> substantial</w:t>
      </w:r>
      <w:r w:rsidRPr="00F665ED">
        <w:rPr>
          <w:rFonts w:cs="Arial"/>
          <w:sz w:val="20"/>
        </w:rPr>
        <w:t xml:space="preserve"> difference between asking people for their </w:t>
      </w:r>
      <w:r>
        <w:rPr>
          <w:rFonts w:cs="Arial"/>
          <w:sz w:val="20"/>
        </w:rPr>
        <w:t xml:space="preserve">awareness </w:t>
      </w:r>
      <w:r w:rsidRPr="00F665ED">
        <w:rPr>
          <w:rFonts w:cs="Arial"/>
          <w:sz w:val="20"/>
        </w:rPr>
        <w:t xml:space="preserve">of </w:t>
      </w:r>
      <w:r>
        <w:rPr>
          <w:rFonts w:cs="Arial"/>
          <w:sz w:val="20"/>
        </w:rPr>
        <w:t xml:space="preserve">ESs provided by </w:t>
      </w:r>
      <w:proofErr w:type="spellStart"/>
      <w:r w:rsidRPr="00F665ED">
        <w:rPr>
          <w:rFonts w:cs="Arial"/>
          <w:sz w:val="20"/>
        </w:rPr>
        <w:t>Persina</w:t>
      </w:r>
      <w:proofErr w:type="spellEnd"/>
      <w:r w:rsidRPr="00F665ED">
        <w:rPr>
          <w:rFonts w:cs="Arial"/>
          <w:sz w:val="20"/>
        </w:rPr>
        <w:t xml:space="preserve"> in general and the specific </w:t>
      </w:r>
      <w:r>
        <w:rPr>
          <w:rFonts w:cs="Arial"/>
          <w:sz w:val="20"/>
        </w:rPr>
        <w:t>wetland types</w:t>
      </w:r>
      <w:r w:rsidRPr="00F665ED">
        <w:rPr>
          <w:rFonts w:cs="Arial"/>
          <w:sz w:val="20"/>
        </w:rPr>
        <w:t xml:space="preserve">. </w:t>
      </w:r>
      <w:r>
        <w:rPr>
          <w:rFonts w:cs="Arial"/>
          <w:sz w:val="20"/>
        </w:rPr>
        <w:t xml:space="preserve">Fifty-three percent of the respondents associated </w:t>
      </w:r>
      <w:proofErr w:type="spellStart"/>
      <w:r>
        <w:rPr>
          <w:rFonts w:cs="Arial"/>
          <w:sz w:val="20"/>
        </w:rPr>
        <w:t>Persina</w:t>
      </w:r>
      <w:proofErr w:type="spellEnd"/>
      <w:r>
        <w:rPr>
          <w:rFonts w:cs="Arial"/>
          <w:sz w:val="20"/>
        </w:rPr>
        <w:t xml:space="preserve"> with recreation, but less than 25% associated recreation with any of the wetland types. Such discrepancies were also found for tourism, environmental education, and the provision of food. This could mean that people associated different types of ecosystems and/or landscapes with these services. People may have associated the provision of food most with the agricultural fields present in </w:t>
      </w:r>
      <w:proofErr w:type="spellStart"/>
      <w:r>
        <w:rPr>
          <w:rFonts w:cs="Arial"/>
          <w:sz w:val="20"/>
        </w:rPr>
        <w:t>Persina</w:t>
      </w:r>
      <w:proofErr w:type="spellEnd"/>
      <w:r>
        <w:rPr>
          <w:rFonts w:cs="Arial"/>
          <w:sz w:val="20"/>
        </w:rPr>
        <w:t xml:space="preserve">, or the Danube River itself, rather than with the wetlands within the park. It could however, also mean that people had a general perception of the landscapes in </w:t>
      </w:r>
      <w:proofErr w:type="spellStart"/>
      <w:r>
        <w:rPr>
          <w:rFonts w:cs="Arial"/>
          <w:sz w:val="20"/>
        </w:rPr>
        <w:t>Persina</w:t>
      </w:r>
      <w:proofErr w:type="spellEnd"/>
      <w:r>
        <w:rPr>
          <w:rFonts w:cs="Arial"/>
          <w:sz w:val="20"/>
        </w:rPr>
        <w:t xml:space="preserve">, which did not completely correspond with the landscapes they saw on the photos. </w:t>
      </w:r>
    </w:p>
    <w:p w:rsidR="003F789A" w:rsidRDefault="003F789A" w:rsidP="00E55058">
      <w:pPr>
        <w:tabs>
          <w:tab w:val="left" w:pos="880"/>
        </w:tabs>
        <w:spacing w:after="0" w:line="360" w:lineRule="auto"/>
        <w:rPr>
          <w:rFonts w:cs="Arial"/>
          <w:sz w:val="20"/>
        </w:rPr>
      </w:pPr>
    </w:p>
    <w:p w:rsidR="003F789A" w:rsidRPr="00E14FF7" w:rsidRDefault="003F789A" w:rsidP="00E55058">
      <w:pPr>
        <w:tabs>
          <w:tab w:val="left" w:pos="880"/>
        </w:tabs>
        <w:spacing w:after="0" w:line="360" w:lineRule="auto"/>
        <w:rPr>
          <w:rFonts w:cs="Arial"/>
          <w:sz w:val="20"/>
        </w:rPr>
      </w:pPr>
      <w:r>
        <w:rPr>
          <w:rFonts w:cs="Arial"/>
          <w:sz w:val="20"/>
        </w:rPr>
        <w:t xml:space="preserve">Scholars studying landscape perceptions and preferences argue that people do not only form opinions about the landscape on the basis of the biophysical characteristics of that landscape, but also by ‘mental images’ </w:t>
      </w:r>
      <w:r>
        <w:rPr>
          <w:rFonts w:cs="Arial"/>
          <w:sz w:val="20"/>
        </w:rPr>
        <w:fldChar w:fldCharType="begin" w:fldLock="1"/>
      </w:r>
      <w:r>
        <w:rPr>
          <w:rFonts w:cs="Arial"/>
          <w:sz w:val="20"/>
        </w:rPr>
        <w:instrText>ADDIN CSL_CITATION { "citationItems" : [ { "id" : "ITEM-1", "itemData" : { "DOI" : "http://dx.doi.org/10.1016/j.biocon.2009.10.003", "ISSN" : "0006-3207", "abstract" : "The conservation of biodiversity critically depends on the value that humans attach to it. Apart from an ecological and economic value, an aesthetic value has often been assigned to biodiversity. However, it is not known whether lay people appreciate the diversity of species and not just certain individual species or nature as a whole. We studied in a series of experiments and field studies people\u2019s perception and appreciation of species diversity. We presented meadow-like arrays of different species richness and evenness but random species composition to lay people and asked them to estimate plant species richness and rank the arrays by attractiveness. The experiments were complemented by two larger-scale field studies using natural meadows. Both in the experiments and the field studies the mean perception of species richness by people increased with true species richness, but was slightly overestimated at low and increasingly underestimated at high diversity levels. Lay people\u2019s aesthetic appreciation of both the experimental grassland arrays and the natural meadows increased with true species richness. Communities consisting of the same number of species were perceived to be more species-rich and were appreciated more when their evenness was high. Our results demonstrate that plant diversity in itself is attractive to humans. The current reduction of the diversity of grasslands due to intensification of management may thus reduce the attractiveness of regions where grasslands are a dominant feature of the landscape. This could have negative consequences for tourism and may add an economic argument for the conservation of biodiversity in grasslands.", "author" : [ { "dropping-particle" : "", "family" : "Lindemann-Matthies", "given" : "Petra", "non-dropping-particle" : "", "parse-names" : false, "suffix" : "" }, { "dropping-particle" : "", "family" : "Junge", "given" : "Xenia", "non-dropping-particle" : "", "parse-names" : false, "suffix" : "" }, { "dropping-particle" : "", "family" : "Matthies", "given" : "Diethart", "non-dropping-particle" : "", "parse-names" : false, "suffix" : "" } ], "container-title" : "Biological Conservation", "id" : "ITEM-1", "issue" : "1", "issued" : { "date-parts" : [ [ "2010", "1" ] ] }, "page" : "195-202", "title" : "The influence of plant diversity on people\u2019s perception and aesthetic appreciation of grassland vegetation", "type" : "article-journal", "volume" : "143" }, "uris" : [ "http://www.mendeley.com/documents/?uuid=abc165a0-d243-4f1d-b6e0-edbfae1b7536" ] } ], "mendeley" : { "formattedCitation" : "(Lindemann-Matthies et al 2010)", "manualFormatting" : "(Lindemann-Matthies et al., 2010)", "plainTextFormattedCitation" : "(Lindemann-Matthies et al 2010)", "previouslyFormattedCitation" : "(Lindemann-Matthies et al 2010)" }, "properties" : { "noteIndex" : 0 }, "schema" : "https://github.com/citation-style-language/schema/raw/master/csl-citation.json" }</w:instrText>
      </w:r>
      <w:r>
        <w:rPr>
          <w:rFonts w:cs="Arial"/>
          <w:sz w:val="20"/>
        </w:rPr>
        <w:fldChar w:fldCharType="separate"/>
      </w:r>
      <w:r>
        <w:rPr>
          <w:rFonts w:cs="Arial"/>
          <w:noProof/>
          <w:sz w:val="20"/>
        </w:rPr>
        <w:t>(Lindemann-Matthies et al.,</w:t>
      </w:r>
      <w:r w:rsidRPr="00634E20">
        <w:rPr>
          <w:rFonts w:cs="Arial"/>
          <w:noProof/>
          <w:sz w:val="20"/>
        </w:rPr>
        <w:t xml:space="preserve"> 2010)</w:t>
      </w:r>
      <w:r>
        <w:rPr>
          <w:rFonts w:cs="Arial"/>
          <w:sz w:val="20"/>
        </w:rPr>
        <w:fldChar w:fldCharType="end"/>
      </w:r>
      <w:r>
        <w:rPr>
          <w:rFonts w:cs="Arial"/>
          <w:sz w:val="20"/>
        </w:rPr>
        <w:t xml:space="preserve"> or conceptions of what a landscape should look like </w:t>
      </w:r>
      <w:r>
        <w:rPr>
          <w:rFonts w:cs="Arial"/>
          <w:sz w:val="20"/>
        </w:rPr>
        <w:fldChar w:fldCharType="begin" w:fldLock="1"/>
      </w:r>
      <w:r>
        <w:rPr>
          <w:rFonts w:cs="Arial"/>
          <w:sz w:val="20"/>
        </w:rPr>
        <w:instrText>ADDIN CSL_CITATION { "citationItems" : [ { "id" : "ITEM-1", "itemData" : { "DOI" : "10.1016/S0169-2046(01)00204-3", "abstract" : "Seeking to contribute to a theoretical and analytical approach to the study of landscape, this essay offers directions for integrated future research that combine quantitative with qualitative methodologies towards the ultimate goal of landscape planning and policy implementation. Towards this goal, this paper represents an attempt to apply concerns about landscape theory and appropriate methodology on landscape form, function and meaning by delineating a framework of analysis for the Aegean landscape of Greece. Such a challenging goal, however, undertaken here through critical geographical perspectives, should rather be approached on a transdisciplinary basis. The plethora of processes of action and interaction among the various components of a landscape dictate that there are almost no methodological frameworks and tools that are irrelevant to in landscape study, planning, use or policy implementation. If one focuses on characteristics distinctive to the landscape context, however, such as the visual\u2013cognitive\u2013experiential interface and biophysical\u2013human interaction in the landscape, the beginnings of a theory of landscape as a stage set for human life may, thus, be established. On this basis, a conceptual framework for contemporary multifunctional landscapes is first proposed to serve as a basis for the development of an analytical framework. The case study that follows focuses on the construction of the Aegean cultural landscape, aiming to illustrate and begin to apply concerns and approaches presented in the theoretical part of this study. Aegeanity is first negotiated in theoretical terms on the basis of its distinctive geography, scale and cultural meaning, encompassing landscape characteristics and relationships as presented above. As concerns Aegean landscape analysis, goals and criteria of assessment are interwoven into appropriate methodological schemata and examples of this work presented accordingly.", "author" : [ { "dropping-particle" : "", "family" : "Terkenli", "given" : "Theano S.", "non-dropping-particle" : "", "parse-names" : false, "suffix" : "" } ], "container-title" : "Landscape and Urban Planning", "id" : "ITEM-1", "issue" : "3", "issued" : { "date-parts" : [ [ "2001" ] ] }, "page" : "197-208", "title" : "Towards a theory of the landscape: the Aegean landscape as a cultural image", "type" : "article-journal", "volume" : "57" }, "uris" : [ "http://www.mendeley.com/documents/?uuid=f77271fa-adc2-4d00-a6ff-6470be82b737" ] } ], "mendeley" : { "formattedCitation" : "(Terkenli 2001)", "plainTextFormattedCitation" : "(Terkenli 2001)", "previouslyFormattedCitation" : "(Terkenli 2001)" }, "properties" : { "noteIndex" : 0 }, "schema" : "https://github.com/citation-style-language/schema/raw/master/csl-citation.json" }</w:instrText>
      </w:r>
      <w:r>
        <w:rPr>
          <w:rFonts w:cs="Arial"/>
          <w:sz w:val="20"/>
        </w:rPr>
        <w:fldChar w:fldCharType="separate"/>
      </w:r>
      <w:r w:rsidRPr="0047505E">
        <w:rPr>
          <w:rFonts w:cs="Arial"/>
          <w:noProof/>
          <w:sz w:val="20"/>
        </w:rPr>
        <w:t>(Terkenli 2001)</w:t>
      </w:r>
      <w:r>
        <w:rPr>
          <w:rFonts w:cs="Arial"/>
          <w:sz w:val="20"/>
        </w:rPr>
        <w:fldChar w:fldCharType="end"/>
      </w:r>
      <w:r>
        <w:rPr>
          <w:rFonts w:cs="Arial"/>
          <w:sz w:val="20"/>
        </w:rPr>
        <w:t xml:space="preserve">. Such mental images may be based on information, experiences, knowledge, institutions, and social networks. Comparing visual versus verbal techniques to capture forest landscape preferences,  </w:t>
      </w:r>
      <w:r>
        <w:rPr>
          <w:rFonts w:cs="Arial"/>
          <w:sz w:val="20"/>
        </w:rPr>
        <w:fldChar w:fldCharType="begin" w:fldLock="1"/>
      </w:r>
      <w:r>
        <w:rPr>
          <w:rFonts w:cs="Arial"/>
          <w:sz w:val="20"/>
        </w:rPr>
        <w:instrText>ADDIN CSL_CITATION { "citationItems" : [ { "id" : "ITEM-1", "itemData" : { "DOI" : "10.1016/S0169-2046(00)00137-7", "ISSN" : "01692046", "abstract" : "Forest and landscape management measures have impacts on the amenity value of forests. People may have certain attitudes towards management, in particular near urban areas. The aim of this study was to evaluate the impacts on scenic beauty and recreational value of five different management practices: small clear cutting, thinning, removal of undergrowth, natural state, and traditionally managed cultural landscape. In order to compare visual perceptions with preconceptions, two evaluation methods, visual presentation (pictures produced by image-capture technology) and verbal questions were used. Scenic beauty and recreational value were assessed from slides in which management measures were presented by the pairwise comparison technique. The results indicate that scenic beauty and recreational preferences differ considerably from each other. In the study areas, small clear cuttings had the most positive effect on scenic beauty and natural state had most positive effect on recreational value. Furthermore, preconceptions concerning different silvicultural measures did not consistently correspond to perceptions based on the assessment of visual images. This fact supports the use of visual presentation methods in future preference studies as well as in participatory forest planning projects.", "author" : [ { "dropping-particle" : "", "family" : "Tahvanainen", "given" : "Liisa", "non-dropping-particle" : "", "parse-names" : false, "suffix" : "" }, { "dropping-particle" : "", "family" : "Tyrv\u00e4inen", "given" : "Liisa", "non-dropping-particle" : "", "parse-names" : false, "suffix" : "" }, { "dropping-particle" : "", "family" : "Ihalainen", "given" : "Marjut", "non-dropping-particle" : "", "parse-names" : false, "suffix" : "" }, { "dropping-particle" : "", "family" : "Vuorela", "given" : "Niina", "non-dropping-particle" : "", "parse-names" : false, "suffix" : "" }, { "dropping-particle" : "", "family" : "Kolehmainen", "given" : "Osmo", "non-dropping-particle" : "", "parse-names" : false, "suffix" : "" } ], "container-title" : "Landscape and Urban Planning", "id" : "ITEM-1", "issue" : "1-4", "issued" : { "date-parts" : [ [ "2001", "1" ] ] }, "page" : "53-70", "title" : "Forest management and public perceptions \u2014 visual versus verbal information", "type" : "article-journal", "volume" : "53" }, "uris" : [ "http://www.mendeley.com/documents/?uuid=359613ed-f569-4bab-bfd5-315afe0851db" ] } ], "mendeley" : { "formattedCitation" : "(Tahvanainen et al 2001)", "manualFormatting" : "Tahvanainen et al. (2001)", "plainTextFormattedCitation" : "(Tahvanainen et al 2001)", "previouslyFormattedCitation" : "(Tahvanainen et al 2001)" }, "properties" : { "noteIndex" : 0 }, "schema" : "https://github.com/citation-style-language/schema/raw/master/csl-citation.json" }</w:instrText>
      </w:r>
      <w:r>
        <w:rPr>
          <w:rFonts w:cs="Arial"/>
          <w:sz w:val="20"/>
        </w:rPr>
        <w:fldChar w:fldCharType="separate"/>
      </w:r>
      <w:r>
        <w:rPr>
          <w:rFonts w:cs="Arial"/>
          <w:noProof/>
          <w:sz w:val="20"/>
        </w:rPr>
        <w:t>Tahvanainen et al. (</w:t>
      </w:r>
      <w:r w:rsidRPr="00634E20">
        <w:rPr>
          <w:rFonts w:cs="Arial"/>
          <w:noProof/>
          <w:sz w:val="20"/>
        </w:rPr>
        <w:t>2001)</w:t>
      </w:r>
      <w:r>
        <w:rPr>
          <w:rFonts w:cs="Arial"/>
          <w:sz w:val="20"/>
        </w:rPr>
        <w:fldChar w:fldCharType="end"/>
      </w:r>
      <w:r>
        <w:rPr>
          <w:rFonts w:cs="Arial"/>
          <w:sz w:val="20"/>
        </w:rPr>
        <w:t xml:space="preserve"> showed that preconceptions (i.e. mental images, about landscape management measures) did not match visual perceptions of these measures. While landscape visualizations are commonly used in landscape preference studies (</w:t>
      </w:r>
      <w:r>
        <w:rPr>
          <w:rFonts w:cs="Arial"/>
          <w:sz w:val="20"/>
        </w:rPr>
        <w:fldChar w:fldCharType="begin" w:fldLock="1"/>
      </w:r>
      <w:r>
        <w:rPr>
          <w:rFonts w:cs="Arial"/>
          <w:sz w:val="20"/>
        </w:rPr>
        <w:instrText>ADDIN CSL_CITATION { "citationItems" : [ { "id" : "ITEM-1", "itemData" : { "DOI" : "10.1016/j.landurbplan.2012.10.011", "ISSN" : "01692046", "abstract" : "Given the accelerating rate of urbanization worldwide, the sustainable provision of urban ecosystem services becomes increasingly important for the growing number of city dwellers. Attempts to increase a single ecosystem service however often lead to reduction or losses of others. For making sound decisions about sustainable urban development, knowledge and awareness of the interactions between ecosystem services are thus necessary. In this paper, we show how interactive rulers embedded in a 3D GIS-based procedural modeling environment can assist in making urban ecosystem services trade-offs explicit for sustainable urban planning. The interactive rulers are slider bars that offer stakeholders the possibility to explore trade-offs in ecosystem services reflected in different urban designs. The approach is illustrated in a case study in Abu Dhabi, Masdar City, a new city designed from scratch. An interactive 3D visualization approach links parametric shape grammars for the design of generative urban patterns and the reporting of urban ecosystem services. We show how various urban design scenarios can be generated in an interactive manner allowing a balance between the esthetics of the urban designs and a set of indicators describing the provision of relevant ecosystem services. With this approach, the space for actions and behavioral alternatives become explicit \u2013 a crucial step for sustainable urban planning which calls for innovative strategies to adapt to these uncertain and rapid changes.", "author" : [ { "dropping-particle" : "", "family" : "Gr\u00eat-Regamey", "given" : "Adrienne", "non-dropping-particle" : "", "parse-names" : false, "suffix" : "" }, { "dropping-particle" : "", "family" : "Celio", "given" : "Enrico", "non-dropping-particle" : "", "parse-names" : false, "suffix" : "" }, { "dropping-particle" : "", "family" : "Klein", "given" : "Thomas M.", "non-dropping-particle" : "", "parse-names" : false, "suffix" : "" }, { "dropping-particle" : "", "family" : "Wissen Hayek", "given" : "Ulrike", "non-dropping-particle" : "", "parse-names" : false, "suffix" : "" } ], "container-title" : "Landscape and Urban Planning", "id" : "ITEM-1", "issue" : "1", "issued" : { "date-parts" : [ [ "2013", "1" ] ] }, "page" : "107-116", "title" : "Understanding ecosystem services trade-offs with interactive procedural modeling for sustainable urban planning", "type" : "article-journal", "volume" : "109" }, "uris" : [ "http://www.mendeley.com/documents/?uuid=c01910e1-6fcf-415a-9f5f-dec64dda8abd" ] }, { "id" : "ITEM-2", "itemData" : { "DOI" : "10.1016/j.jenvman.2007.01.061", "ISSN" : "0301-4797", "PMID" : "17766028", "abstract" : "The provision of green space is increasingly being perceived as an important factor for quality of life. However, green spaces often face high developmental pressure. The main objective of this study is to investigate a prospective approach to green space planning by combining three-dimensional (3D) visualization of green space scenarios and survey techniques to facilitate improved participation of the public. Aside from the 'Status quo', scenarios 'Agriculture', 'Recreation', 'Nature conservation' and 'Wind turbines' are visualized in three dimensions. In order to test responses, a survey was conducted both in print format and on the Internet. Overall, 49 different visualizations that belong to one of the scenarios were available in the survey and were rated according to the perceived esthetic, recreational and ecological values. The highest rated scenes include vegetation elements such as meadows with orchards, single trees, shrubs or forest. The least attractive scenes are those where buildings are highly dominant or where there are no vegetation elements. Based on the ratings for the individual images and on the corresponding scenarios, our study shows that there is high potential for improving the existing landscape. All suggested changes are either rated about equal to or considerably higher than the status quo, with the scenario 'Nature conservation' receiving the highest scores.", "author" : [ { "dropping-particle" : "", "family" : "Lange", "given" : "Eckart", "non-dropping-particle" : "", "parse-names" : false, "suffix" : "" }, { "dropping-particle" : "", "family" : "Hehl-Lange", "given" : "Sigrid", "non-dropping-particle" : "", "parse-names" : false, "suffix" : "" }, { "dropping-particle" : "", "family" : "Brewer", "given" : "Mark J", "non-dropping-particle" : "", "parse-names" : false, "suffix" : "" } ], "container-title" : "Journal of environmental management", "id" : "ITEM-2", "issue" : "3", "issued" : { "date-parts" : [ [ "2008", "11" ] ] }, "page" : "245-56", "title" : "Scenario-visualization for the assessment of perceived green space qualities at the urban-rural fringe.", "type" : "article-journal", "volume" : "89" }, "uris" : [ "http://www.mendeley.com/documents/?uuid=659d805d-384f-4cce-a1c2-c85b8f37329e" ] }, { "id" : "ITEM-3", "itemData" : { "DOI" : "10.1080/01426397.2010.536204", "ISSN" : "0142-6397", "abstract" : "Abstract Effects of depopulation, farm family income and changes in agricultural practices, etc. have resulted in the abandonment or destruction of traditional mountainous landscapes. An image-based stated choice survey was applied to explore the effects of various landscape change processes on the preferences of a mostly urban sample (N\u00a0=\u00a0410). The 128 digitally generated landscape scenarios represented various kinds and intensities of agricultural and tourism use of a historic terraced area in Austria. Latent class segmentations identified four segments, with different preferences for natural, managerial and social landscape features. While a preference for a more complex, mysterious and natural landscape was found for three segments, one segment preferred more open landscapes. The results indicate that landscape change can affect humans in different ways, and that evolutionary and cultural preference theories are useful in explaining landscape preferences.\nAbstract Effects of depopulation, farm family income and changes in agricultural practices, etc. have resulted in the abandonment or destruction of traditional mountainous landscapes. An image-based stated choice survey was applied to explore the effects of various landscape change processes on the preferences of a mostly urban sample (N\u00a0=\u00a0410). The 128 digitally generated landscape scenarios represented various kinds and intensities of agricultural and tourism use of a historic terraced area in Austria. Latent class segmentations identified four segments, with different preferences for natural, managerial and social landscape features. While a preference for a more complex, mysterious and natural landscape was found for three segments, one segment preferred more open landscapes. The results indicate that landscape change can affect humans in different ways, and that evolutionary and cultural preference theories are useful in explaining landscape preferences.", "author" : [ { "dropping-particle" : "", "family" : "Arnberger", "given" : "Arne", "non-dropping-particle" : "", "parse-names" : false, "suffix" : "" }, { "dropping-particle" : "", "family" : "Eder", "given" : "Renate", "non-dropping-particle" : "", "parse-names" : false, "suffix" : "" } ], "container-title" : "Landscape Research", "id" : "ITEM-3", "issue" : "1", "issued" : { "date-parts" : [ [ "2011", "2" ] ] }, "page" : "19-40", "publisher" : "Routledge", "title" : "Exploring the Heterogeneity of Rural Landscape Preferences: An Image-Based Latent Class Approach", "type" : "article-journal", "volume" : "36" }, "uris" : [ "http://www.mendeley.com/documents/?uuid=2f12538c-0537-4d9d-b889-0914ec4c0d02" ] }, { "id" : "ITEM-4", "itemData" : { "abstract" : "Mediterranean landscapes reveal extremely adequate conditions for the development of other functions besides production (nature conservation, recreation, life quality, local identity). These functions support the provision of public goods and services increasingly recognized by society. With this goal, the production of knowledge that may support decision is highly needed. In Mediterranean extensively used areas, the analysis of landscape features and related public preferences is complex, as the landscape pattern is highly fuzzy and land cover classes are often mixed. Resulting from multiple research developments, this paper demonstrates how photo-based surveys can be a suitable tool for assessing landscape preferences by specific public groups. Landscape functions addressed are closely linked to land cover patterns, as resulting from land cover systems. Thus using photographs in landscape questionnaires is useful in focusing the discussion on specific aspects, related with the variations in land cover and in their combinations with other specific landscape features. But the photos shown need to be clear and easily perceivable by the respondents. In order to cope with the underlying fuzziness of these landscapes, manipulation of images has been developed as the best solution so that the variations shown to respondents are adequately controlled in the study and landscape features are easily recognized by the respondents. The methodological approach as well as the results of applied approaches, of two studies on the users preferences, applied to a case-study area in Alentejo region, Portugal, are presented. The issues concerned with photo manipulation are a particular focus of discussion.", "author" : [ { "dropping-particle" : "", "family" : "Barroso", "given" : "Filipe Lucas", "non-dropping-particle" : "", "parse-names" : false, "suffix" : "" }, { "dropping-particle" : "", "family" : "Pinto-Correia", "given" : "Teresa", "non-dropping-particle" : "", "parse-names" : false, "suffix" : "" }, { "dropping-particle" : "", "family" : "Ramos", "given" : "Isabel L.", "non-dropping-particle" : "", "parse-names" : false, "suffix" : "" }, { "dropping-particle" : "", "family" : "Surov\u00e1", "given" : "Diana", "non-dropping-particle" : "", "parse-names" : false, "suffix" : "" }, { "dropping-particle" : "", "family" : "Menezes", "given" : "Helena", "non-dropping-particle" : "", "parse-names" : false, "suffix" : "" } ], "container-title" : "Landscape and Urban Planning", "id" : "ITEM-4", "issue" : "3", "issued" : { "date-parts" : [ [ "2012" ] ] }, "page" : "329-342", "title" : "Dealing with landscape fuzziness in user preference studies: Photo-based questionnaires in the Mediterranean context", "type" : "article-journal", "volume" : "104" }, "uris" : [ "http://www.mendeley.com/documents/?uuid=6bbb04a4-e223-4621-b44e-ef7a775fbe5d" ] }, { "id" : "ITEM-5", "itemData" : { "DOI" : "http://dx.doi.org/10.1016/j.forpol.2004.03.016", "ISSN" : "1389-9341", "abstract" : "In sustainable forest management (SFM), forestry organizations are required to communicate to the public effectively to broaden the general understanding of their efforts in maintaining multiple forest service functions. Thus, there is a renewed interest in the scientific study of the perception and representation of forests. Forestry photo contests provide valuable resources to deepen the knowledge about \u2018images\u2019 that are shared in a larger public and obviously appealing to imaginations from the perspective of laypeople. The paper aims at identifying such \u2018icons\u2019 through a new methodology that involved examining group discussion dynamics based on using two sets of prize-winning pictures. The pictures were from Japanese and German photo contests with the common theme of \u2018forest/trees.\u2019 Data were collected with different sets of forest pictures in both cultures. Interviewees were asked to categorize the pictures into clusters through group discussions with a high degree of freedom. The results show rather stable sets of pairs and clusters of certain pictures. What is being included in the prize-winning photos differed largely between Japan and Germany, indicating separate discursive practices of forestry organizations in the two cultures. In addition to these representational differences in \u2018icons\u2019, perception of German and Japanese groups differed in certain themes.", "author" : [ { "dropping-particle" : "", "family" : "Kohsaka", "given" : "Ryo", "non-dropping-particle" : "", "parse-names" : false, "suffix" : "" }, { "dropping-particle" : "", "family" : "Flitner", "given" : "Michael", "non-dropping-particle" : "", "parse-names" : false, "suffix" : "" } ], "container-title" : "Forest Policy and Economics", "id" : "ITEM-5", "issue" : "3\u20134", "issued" : { "date-parts" : [ [ "2004", "6" ] ] }, "page" : "289-299", "title" : "Exploring forest aesthetics using forestry photo contests: case studies examining Japanese and German public preferences", "type" : "article-journal", "volume" : "6" }, "uris" : [ "http://www.mendeley.com/documents/?uuid=329c053c-fa13-4eed-907c-850a5fb7f96b" ] }, { "id" : "ITEM-6", "itemData" : { "DOI" : "10.1016/j.landurbplan.2005.12.006", "abstract" : "There is increasing awareness of the need to monitor trends in our constantly changing agricultural landscapes. Monitoring programmes often use remote sensing data and focus on changes in land cover/land use in relation to values such as biodiversity, cultural heritage and recreation. Although a wide range of indicators is in use, landscape aesthetics is a topic that is frequently neglected. Our aim was to determine whether aspects of landscape content and configuration could be used as surrogate measures for visual landscape quality in monitoring programmes based on remote sensing. In this paper, we test whether map-derived indicators of landscape structure from the Norwegian monitoring programme for agricultural landscapes are correlated with visual landscape preferences. Two groups of people participated: (1) locals and (2) non-local students. Using the total dataset, we found significant positive correlations between preferences and spatial metrics, including number of land types, number of patches and land type diversity. In addition, preference scores were high where water was present within the mapped image area, even if the water itself was not visible in the images. When the dataset was split into two groups, we found no significant correlation between the preference scores of the students and locals. Whilst the student group preferred images portraying diverse and heterogeneous landscapes, neither diversity nor heterogeneity was correlated with the preference scores of the locals. We conclude that certain indicators based on spatial structure also have relevance in relation to landscape preferences in agricultural landscapes. However, the finding that different groups of people prefer different types of landscape underlines the need for care when interpreting indicator values.", "author" : [ { "dropping-particle" : "", "family" : "Dramstad", "given" : "W.E.", "non-dropping-particle" : "", "parse-names" : false, "suffix" : "" }, { "dropping-particle" : "", "family" : "Tveit", "given" : "M. Sundli", "non-dropping-particle" : "", "parse-names" : false, "suffix" : "" }, { "dropping-particle" : "", "family" : "Fjellstad", "given" : "W.J.", "non-dropping-particle" : "", "parse-names" : false, "suffix" : "" }, { "dropping-particle" : "", "family" : "Fry", "given" : "G.L.A.", "non-dropping-particle" : "", "parse-names" : false, "suffix" : "" } ], "container-title" : "Landscape and Urban Planning", "id" : "ITEM-6", "issue" : "4", "issued" : { "date-parts" : [ [ "2006" ] ] }, "page" : "465-474", "title" : "Relationships between visual landscape preferences and map-based indicators of landscape structure", "type" : "article-journal", "volume" : "78" }, "uris" : [ "http://www.mendeley.com/documents/?uuid=dbf63410-dbbe-4e42-9f80-ffd190718e09" ] } ], "mendeley" : { "formattedCitation" : "(Kohsaka and Flitner 2004; Dramstad et al 2006; Lange et al 2008; Arnberger and Eder 2011; Barroso et al 2012; Gr\u00eat-Regamey et al 2013)", "manualFormatting" : "Kohsaka &amp; Flitner, 2004; Dramstad et al., 2006; Lange et al., 2008; Arnberger &amp; Eder, 2011; Barroso et al., 2012)", "plainTextFormattedCitation" : "(Kohsaka and Flitner 2004; Dramstad et al 2006; Lange et al 2008; Arnberger and Eder 2011; Barroso et al 2012; Gr\u00eat-Regamey et al 2013)", "previouslyFormattedCitation" : "(Kohsaka and Flitner 2004; Dramstad et al 2006; Lange et al 2008; Arnberger and Eder 2011; Barroso et al 2012; Gr\u00eat-Regamey et al 2013)" }, "properties" : { "noteIndex" : 0 }, "schema" : "https://github.com/citation-style-language/schema/raw/master/csl-citation.json" }</w:instrText>
      </w:r>
      <w:r>
        <w:rPr>
          <w:rFonts w:cs="Arial"/>
          <w:sz w:val="20"/>
        </w:rPr>
        <w:fldChar w:fldCharType="separate"/>
      </w:r>
      <w:r>
        <w:rPr>
          <w:rFonts w:cs="Arial"/>
          <w:noProof/>
          <w:sz w:val="20"/>
        </w:rPr>
        <w:t>Kohsaka &amp; Flitner, 2004; Dramstad et al.</w:t>
      </w:r>
      <w:r w:rsidRPr="00E255AD">
        <w:rPr>
          <w:rFonts w:cs="Arial"/>
          <w:noProof/>
          <w:sz w:val="20"/>
        </w:rPr>
        <w:t>, 2006;</w:t>
      </w:r>
      <w:r>
        <w:rPr>
          <w:rFonts w:cs="Arial"/>
          <w:noProof/>
          <w:sz w:val="20"/>
        </w:rPr>
        <w:t xml:space="preserve"> Lange et al., </w:t>
      </w:r>
      <w:r w:rsidRPr="00E255AD">
        <w:rPr>
          <w:rFonts w:cs="Arial"/>
          <w:noProof/>
          <w:sz w:val="20"/>
        </w:rPr>
        <w:t>2008</w:t>
      </w:r>
      <w:r>
        <w:rPr>
          <w:rFonts w:cs="Arial"/>
          <w:noProof/>
          <w:sz w:val="20"/>
        </w:rPr>
        <w:t>;</w:t>
      </w:r>
      <w:r w:rsidRPr="00F22871">
        <w:rPr>
          <w:rFonts w:cs="Arial"/>
          <w:noProof/>
          <w:sz w:val="20"/>
        </w:rPr>
        <w:t xml:space="preserve"> </w:t>
      </w:r>
      <w:r w:rsidRPr="00E255AD">
        <w:rPr>
          <w:rFonts w:cs="Arial"/>
          <w:noProof/>
          <w:sz w:val="20"/>
        </w:rPr>
        <w:t>Arnberger &amp; Eder, 2011</w:t>
      </w:r>
      <w:r>
        <w:rPr>
          <w:rFonts w:cs="Arial"/>
          <w:noProof/>
          <w:sz w:val="20"/>
        </w:rPr>
        <w:t>;</w:t>
      </w:r>
      <w:r w:rsidRPr="00F22871">
        <w:rPr>
          <w:rFonts w:cs="Arial"/>
          <w:noProof/>
          <w:sz w:val="20"/>
        </w:rPr>
        <w:t xml:space="preserve"> </w:t>
      </w:r>
      <w:r>
        <w:rPr>
          <w:rFonts w:cs="Arial"/>
          <w:noProof/>
          <w:sz w:val="20"/>
        </w:rPr>
        <w:t>Barroso et al., 2012</w:t>
      </w:r>
      <w:r w:rsidRPr="00E255AD">
        <w:rPr>
          <w:rFonts w:cs="Arial"/>
          <w:noProof/>
          <w:sz w:val="20"/>
        </w:rPr>
        <w:t>)</w:t>
      </w:r>
      <w:r>
        <w:rPr>
          <w:rFonts w:cs="Arial"/>
          <w:sz w:val="20"/>
        </w:rPr>
        <w:fldChar w:fldCharType="end"/>
      </w:r>
      <w:r>
        <w:rPr>
          <w:rFonts w:cs="Arial"/>
          <w:sz w:val="20"/>
        </w:rPr>
        <w:t xml:space="preserve">, they are less often used in ES studies.  Researchers are often interested in assigned values related to specific ecosystem and/or landscape types.  However, </w:t>
      </w:r>
      <w:r>
        <w:rPr>
          <w:rFonts w:cs="Arial"/>
          <w:sz w:val="20"/>
        </w:rPr>
        <w:fldChar w:fldCharType="begin" w:fldLock="1"/>
      </w:r>
      <w:r>
        <w:rPr>
          <w:rFonts w:cs="Arial"/>
          <w:sz w:val="20"/>
        </w:rPr>
        <w:instrText>ADDIN CSL_CITATION { "citationItems" : [ { "id" : "ITEM-1", "itemData" : { "DOI" : "10.1016/j.jnc.2012.05.005", "ISSN" : "16171381", "abstract" : "Establishing protected areas has emerged as one of the key aims in global and EU conservation policy. In the EU, the particular role of providing biodiversity conservation was bestowed on the European Ecological Network Natura 2000. However, public perception of this initiative has been negative in most countries. In this manuscript, we present a representative description of knowledge and attitudes of inhabitants of Polish Carpathians\u2019 municipalities included into Natura 2000. The research was conducted in six municipalities among 906 respondents. Majority (92%) of respondents believe that it is a good measure to legally protect nature in their area. Additionally, we analysed how selected features of respondents influence their perception of protected areas. Level of education, the fact that respondents moved to their current place of residence in adulthood and that they are self-employed, are the characteristics that most significantly influence their knowledge of Natura 2000. Moreover, ownership of a business, familiarity with Natura 2000 and the respondents\u2019 age affect their level of satisfaction with a Natura 2000 site designated in their region. We focus on differences in awareness and acceptance of the programme among different municipalities\u2019 inhabitants \u2013 in the municipality fully covered by a Natura 2000 site, inhabitants are most knowledgeable about nature conservation issues but at the same time they opposed it most strongly. In a typical agricultural municipality, knowledge on nature conservation issues is low while in the touristic-type, the vast majority of residents have no opinion on designation of new protected areas at all. Based on the results of the following study we suggest that development of tools on how to manage the protected areas effectively should rely both on traditional ecological analysis and that of a social type.", "author" : [ { "dropping-particle" : "", "family" : "Pietrzyk-Kaszy\u0144ska", "given" : "Agata", "non-dropping-particle" : "", "parse-names" : false, "suffix" : "" }, { "dropping-particle" : "", "family" : "Cent", "given" : "Joanna", "non-dropping-particle" : "", "parse-names" : false, "suffix" : "" }, { "dropping-particle" : "", "family" : "Grodzi\u0144ska-Jurczak", "given" : "Ma\u0142gorzata", "non-dropping-particle" : "", "parse-names" : false, "suffix" : "" }, { "dropping-particle" : "", "family" : "Szyma\u0144ska", "given" : "Magdalena", "non-dropping-particle" : "", "parse-names" : false, "suffix" : "" } ], "container-title" : "Journal for Nature Conservation", "id" : "ITEM-1", "issue" : "5", "issued" : { "date-parts" : [ [ "2012", "10" ] ] }, "page" : "284-292", "title" : "Factors influencing perception of protected areas\u2014The case of Natura 2000 in Polish Carpathian communities", "type" : "article-journal", "volume" : "20" }, "uris" : [ "http://www.mendeley.com/documents/?uuid=0111de87-e511-41d2-8e72-7565ead872f9" ] } ], "mendeley" : { "formattedCitation" : "(Pietrzyk-Kaszy\u0144ska et al 2012)", "manualFormatting" : "Pietrzyk-Kaszy\u0144ska et al. (2012)", "plainTextFormattedCitation" : "(Pietrzyk-Kaszy\u0144ska et al 2012)", "previouslyFormattedCitation" : "(Pietrzyk-Kaszy\u0144ska et al 2012)" }, "properties" : { "noteIndex" : 0 }, "schema" : "https://github.com/citation-style-language/schema/raw/master/csl-citation.json" }</w:instrText>
      </w:r>
      <w:r>
        <w:rPr>
          <w:rFonts w:cs="Arial"/>
          <w:sz w:val="20"/>
        </w:rPr>
        <w:fldChar w:fldCharType="separate"/>
      </w:r>
      <w:r>
        <w:rPr>
          <w:rFonts w:cs="Arial"/>
          <w:noProof/>
          <w:sz w:val="20"/>
        </w:rPr>
        <w:t>Pietrzyk-Kaszyńska et al. (</w:t>
      </w:r>
      <w:r w:rsidRPr="00987177">
        <w:rPr>
          <w:rFonts w:cs="Arial"/>
          <w:noProof/>
          <w:sz w:val="20"/>
        </w:rPr>
        <w:t>2012)</w:t>
      </w:r>
      <w:r>
        <w:rPr>
          <w:rFonts w:cs="Arial"/>
          <w:sz w:val="20"/>
        </w:rPr>
        <w:fldChar w:fldCharType="end"/>
      </w:r>
      <w:r>
        <w:rPr>
          <w:rFonts w:cs="Arial"/>
          <w:sz w:val="20"/>
        </w:rPr>
        <w:t xml:space="preserve"> suggest that people are more positive towards ‘nature’ on a general level than they are towards specific landscapes. Our results confirm this notion because only 7% of the respondents had negative associations when asked about </w:t>
      </w:r>
      <w:proofErr w:type="spellStart"/>
      <w:r>
        <w:rPr>
          <w:rFonts w:cs="Arial"/>
          <w:sz w:val="20"/>
        </w:rPr>
        <w:t>Persina</w:t>
      </w:r>
      <w:proofErr w:type="spellEnd"/>
      <w:r>
        <w:rPr>
          <w:rFonts w:cs="Arial"/>
          <w:sz w:val="20"/>
        </w:rPr>
        <w:t xml:space="preserve"> in general, while more respondents had negative associations with wetland ecosystems. </w:t>
      </w:r>
    </w:p>
    <w:p w:rsidR="003F789A" w:rsidRDefault="003F789A" w:rsidP="00E55058">
      <w:pPr>
        <w:tabs>
          <w:tab w:val="left" w:pos="880"/>
        </w:tabs>
        <w:spacing w:after="0" w:line="360" w:lineRule="auto"/>
        <w:rPr>
          <w:rFonts w:cs="Arial"/>
          <w:i/>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Understanding attitudes towards wetland restoration from different social perspectives</w:t>
      </w:r>
    </w:p>
    <w:p w:rsidR="003F789A" w:rsidRDefault="003F789A" w:rsidP="00E55058">
      <w:pPr>
        <w:tabs>
          <w:tab w:val="left" w:pos="880"/>
        </w:tabs>
        <w:spacing w:after="0" w:line="360" w:lineRule="auto"/>
        <w:rPr>
          <w:rFonts w:cs="Arial"/>
          <w:sz w:val="20"/>
        </w:rPr>
      </w:pPr>
      <w:r>
        <w:rPr>
          <w:rFonts w:cs="Arial"/>
          <w:sz w:val="20"/>
        </w:rPr>
        <w:t>The four perspectives we identified</w:t>
      </w:r>
      <w:r w:rsidRPr="00100EB1">
        <w:rPr>
          <w:rFonts w:cs="Arial"/>
          <w:sz w:val="20"/>
        </w:rPr>
        <w:t xml:space="preserve"> </w:t>
      </w:r>
      <w:r>
        <w:rPr>
          <w:rFonts w:cs="Arial"/>
          <w:sz w:val="20"/>
        </w:rPr>
        <w:t>are consistent</w:t>
      </w:r>
      <w:r w:rsidRPr="00100EB1">
        <w:rPr>
          <w:rFonts w:cs="Arial"/>
          <w:sz w:val="20"/>
        </w:rPr>
        <w:t xml:space="preserve"> with</w:t>
      </w:r>
      <w:r>
        <w:rPr>
          <w:rFonts w:cs="Arial"/>
          <w:sz w:val="20"/>
        </w:rPr>
        <w:t xml:space="preserve"> underlying motivations for biodiversity and ES conservation</w:t>
      </w:r>
      <w:r w:rsidRPr="00100EB1">
        <w:rPr>
          <w:rFonts w:cs="Arial"/>
          <w:sz w:val="20"/>
        </w:rPr>
        <w:t xml:space="preserve"> that have</w:t>
      </w:r>
      <w:r>
        <w:rPr>
          <w:rFonts w:cs="Arial"/>
          <w:sz w:val="20"/>
        </w:rPr>
        <w:t xml:space="preserve"> </w:t>
      </w:r>
      <w:r w:rsidRPr="00100EB1">
        <w:rPr>
          <w:rFonts w:cs="Arial"/>
          <w:sz w:val="20"/>
        </w:rPr>
        <w:t xml:space="preserve">been identified by other scholars. </w:t>
      </w:r>
      <w:r>
        <w:rPr>
          <w:rFonts w:cs="Arial"/>
          <w:sz w:val="20"/>
        </w:rPr>
        <w:t xml:space="preserve">Studying local motivation for biodiversity conservation, </w:t>
      </w:r>
      <w:r>
        <w:rPr>
          <w:rFonts w:cs="Arial"/>
          <w:sz w:val="20"/>
        </w:rPr>
        <w:fldChar w:fldCharType="begin" w:fldLock="1"/>
      </w:r>
      <w:r>
        <w:rPr>
          <w:rFonts w:cs="Arial"/>
          <w:sz w:val="20"/>
        </w:rPr>
        <w:instrText>ADDIN CSL_CITATION { "citationItems" : [ { "id" : "ITEM-1", "itemData" : { "ISBN" : "urn:isbn:0-88937-291-8", "author" : [ { "dropping-particle" : "", "family" : "Johansson", "given" : "Maria", "non-dropping-particle" : "", "parse-names" : false, "suffix" : "" } ], "container-title" : "Designing Social Innovations: Planning, Building, Evaluating.", "id" : "ITEM-1", "issued" : { "date-parts" : [ [ "2005" ] ] }, "language" : "eng", "publisher" : "Hogrefe &amp; Huber Publishers", "title" : "Local people\u2019s motives for biodiversity conservation.", "type" : "book" }, "uris" : [ "http://www.mendeley.com/documents/?uuid=fa572dac-ad23-404e-8955-889a52db2fb6" ] } ], "mendeley" : { "formattedCitation" : "(Johansson 2005)", "manualFormatting" : "Johansson (2005)", "plainTextFormattedCitation" : "(Johansson 2005)", "previouslyFormattedCitation" : "(Johansson 2005)" }, "properties" : { "noteIndex" : 0 }, "schema" : "https://github.com/citation-style-language/schema/raw/master/csl-citation.json" }</w:instrText>
      </w:r>
      <w:r>
        <w:rPr>
          <w:rFonts w:cs="Arial"/>
          <w:sz w:val="20"/>
        </w:rPr>
        <w:fldChar w:fldCharType="separate"/>
      </w:r>
      <w:r>
        <w:rPr>
          <w:rFonts w:cs="Arial"/>
          <w:noProof/>
          <w:sz w:val="20"/>
        </w:rPr>
        <w:t>Johansson</w:t>
      </w:r>
      <w:r w:rsidRPr="00F353CD">
        <w:rPr>
          <w:rFonts w:cs="Arial"/>
          <w:noProof/>
          <w:sz w:val="20"/>
        </w:rPr>
        <w:t xml:space="preserve"> </w:t>
      </w:r>
      <w:r>
        <w:rPr>
          <w:rFonts w:cs="Arial"/>
          <w:noProof/>
          <w:sz w:val="20"/>
        </w:rPr>
        <w:t>(</w:t>
      </w:r>
      <w:r w:rsidRPr="00F353CD">
        <w:rPr>
          <w:rFonts w:cs="Arial"/>
          <w:noProof/>
          <w:sz w:val="20"/>
        </w:rPr>
        <w:t>2005)</w:t>
      </w:r>
      <w:r>
        <w:rPr>
          <w:rFonts w:cs="Arial"/>
          <w:sz w:val="20"/>
        </w:rPr>
        <w:fldChar w:fldCharType="end"/>
      </w:r>
      <w:r>
        <w:rPr>
          <w:rFonts w:cs="Arial"/>
          <w:sz w:val="20"/>
        </w:rPr>
        <w:t xml:space="preserve"> identified three personal motives for biodiversity conservation: (a) consideration of human well-being and recreation, (b) human survival, and (c) respect for nature. Similarly, </w:t>
      </w:r>
      <w:r>
        <w:rPr>
          <w:rFonts w:cs="Arial"/>
          <w:sz w:val="20"/>
        </w:rPr>
        <w:fldChar w:fldCharType="begin" w:fldLock="1"/>
      </w:r>
      <w:r>
        <w:rPr>
          <w:rFonts w:cs="Arial"/>
          <w:sz w:val="20"/>
        </w:rPr>
        <w:instrText>ADDIN CSL_CITATION { "citationItems" : [ { "id" : "ITEM-1", "itemData" : { "DOI" : "10.1016/j.landusepol.2015.02.008", "ISSN" : "02648377", "abstract" : "The concept of ecosystem services shifts the human\u2013nature relationship from a conservation-oriented into a utility-oriented one. Advocates of the concept assume that it can alter the attitude and behaviour of human actors with respect to nature. The ecosystem services concept has so far received little attention in scientific literature about collaborative landscape planning. Consequently the potential of information about ecosystem services to influence landscape planning processes is unknown. In this paper we address the impact of different storylines about ecosystem services on actor behaviour. In these storylines, we distinguish three frames on ecosystem services: a social\u2013cultural frame (emphasizing social\u2013cultural services), an economic frame (emphasizing production services) and a sustainability frame (highlighting regulation services). We propose a conceptual framework in which we connect the concept of framing to attitudinal, sender\u2013receiver and contextual factors. The framework is illustrated by a spatial planning experiment with academic students and by a case of collaborative landscape planning. The student experiment illustrates how attitudinal factors may intervene in the impact frames on actor behaviour. The case analysis shows how researchers who facilitated collaborative landscape planning used various frames as they attempted to build up the actor network to create collaborative relations in different phases of the planning process. The significance of our paper is that we provide an approach to investigate how information on ecosystem service benefits is processed by multiple actors in collaborative landscape planning processes. Our exploration implies that planners who facilitate a collaborative planning process have to be aware that purposively using ecosystem service frames stimulates engagement of actors with diverging backgrounds.", "author" : [ { "dropping-particle" : "", "family" : "Opdam", "given" : "Paul", "non-dropping-particle" : "", "parse-names" : false, "suffix" : "" }, { "dropping-particle" : "", "family" : "Coninx", "given" : "Ingrid", "non-dropping-particle" : "", "parse-names" : false, "suffix" : "" }, { "dropping-particle" : "", "family" : "Dewulf", "given" : "Art", "non-dropping-particle" : "", "parse-names" : false, "suffix" : "" }, { "dropping-particle" : "", "family" : "Steingr\u00f6ver", "given" : "Eveliene", "non-dropping-particle" : "", "parse-names" : false, "suffix" : "" }, { "dropping-particle" : "", "family" : "Vos", "given" : "Claire", "non-dropping-particle" : "", "parse-names" : false, "suffix" : "" }, { "dropping-particle" : "", "family" : "Wal", "given" : "Merel", "non-dropping-particle" : "van der", "parse-names" : false, "suffix" : "" } ], "container-title" : "Land Use Policy", "id" : "ITEM-1", "issued" : { "date-parts" : [ [ "2015", "7" ] ] }, "page" : "223-231", "title" : "Framing ecosystem services: Affecting behaviour of actors in collaborative landscape planning?", "type" : "article-journal", "volume" : "46" }, "uris" : [ "http://www.mendeley.com/documents/?uuid=bd74cb70-8ace-4fbb-9041-def954ec0df1" ] } ], "mendeley" : { "formattedCitation" : "(Opdam et al 2015)", "manualFormatting" : "Opdam et al. (2015)", "plainTextFormattedCitation" : "(Opdam et al 2015)", "previouslyFormattedCitation" : "(Opdam et al 2015)" }, "properties" : { "noteIndex" : 0 }, "schema" : "https://github.com/citation-style-language/schema/raw/master/csl-citation.json" }</w:instrText>
      </w:r>
      <w:r>
        <w:rPr>
          <w:rFonts w:cs="Arial"/>
          <w:sz w:val="20"/>
        </w:rPr>
        <w:fldChar w:fldCharType="separate"/>
      </w:r>
      <w:r>
        <w:rPr>
          <w:rFonts w:cs="Arial"/>
          <w:noProof/>
          <w:sz w:val="20"/>
        </w:rPr>
        <w:t>Opdam et al. (</w:t>
      </w:r>
      <w:r w:rsidRPr="00F353CD">
        <w:rPr>
          <w:rFonts w:cs="Arial"/>
          <w:noProof/>
          <w:sz w:val="20"/>
        </w:rPr>
        <w:t>2015)</w:t>
      </w:r>
      <w:r>
        <w:rPr>
          <w:rFonts w:cs="Arial"/>
          <w:sz w:val="20"/>
        </w:rPr>
        <w:fldChar w:fldCharType="end"/>
      </w:r>
      <w:r>
        <w:rPr>
          <w:rFonts w:cs="Arial"/>
          <w:sz w:val="20"/>
        </w:rPr>
        <w:t xml:space="preserve"> refer to a socio-cultural frame, a sustainability frame, and an economic frame. In ES research much effort has been spent on clarifying links between values for ESs and socio-demographic characteristics, while environmental </w:t>
      </w:r>
      <w:r w:rsidRPr="00120C0A">
        <w:rPr>
          <w:rFonts w:cs="Arial"/>
          <w:sz w:val="20"/>
        </w:rPr>
        <w:t xml:space="preserve">value orientations may be more </w:t>
      </w:r>
      <w:r>
        <w:rPr>
          <w:rFonts w:cs="Arial"/>
          <w:sz w:val="20"/>
        </w:rPr>
        <w:t>closely linked to the</w:t>
      </w:r>
      <w:r w:rsidRPr="00120C0A">
        <w:rPr>
          <w:rFonts w:cs="Arial"/>
          <w:sz w:val="20"/>
        </w:rPr>
        <w:t xml:space="preserve"> assigned i</w:t>
      </w:r>
      <w:r>
        <w:rPr>
          <w:rFonts w:cs="Arial"/>
          <w:sz w:val="20"/>
        </w:rPr>
        <w:t>mportance to ESs.</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 Environmental value orientations underlie attitudes and normative beliefs </w:t>
      </w:r>
      <w:r>
        <w:rPr>
          <w:rFonts w:cs="Arial"/>
          <w:sz w:val="20"/>
        </w:rPr>
        <w:fldChar w:fldCharType="begin" w:fldLock="1"/>
      </w:r>
      <w:r>
        <w:rPr>
          <w:rFonts w:cs="Arial"/>
          <w:sz w:val="20"/>
        </w:rPr>
        <w:instrText>ADDIN CSL_CITATION { "citationItems" : [ { "id" : "ITEM-1", "itemData" : { "DOI" : "10.1080/089419299279425", "ISSN" : "0894-1920", "abstract" : "This article examines the value attitude behavior cognitive hierarchy as it pertains to wildland preservation. Data for this investigation were obtained from a random sample of Colorado residents (n=960). A biocentric/anthropocentric value orientation continuum was developed and examined empirically. Consistent with previous research, confirmatory factor analysis and reliability analysis suggested that a respondent's value orientation toward wildlands can be positioned along this single continuum. As predicted by theory, a structural equation analysis demonstrated that the biocentric/anthropocentric value orientation continuum predicted a respondent's attitude toward the preservation of wildlands, and that the attitude fully mediated the relationship between value orientation and behavioral intention to vote for wildland preservation. Overall, this article provides empirical support for using the cognitive hierarchy when attempting to understand and predict responses to natural resource issues. This article examines the value attitude behavior cognitive hierarchy as it pertains to wildland preservation. Data for this investigation were obtained from a random sample of Colorado residents (n=960). A biocentric/anthropocentric value orientation continuum was developed and examined empirically. Consistent with previous research, confirmatory factor analysis and reliability analysis suggested that a respondent's value orientation toward wildlands can be positioned along this single continuum. As predicted by theory, a structural equation analysis demonstrated that the biocentric/anthropocentric value orientation continuum predicted a respondent's attitude toward the preservation of wildlands, and that the attitude fully mediated the relationship between value orientation and behavioral intention to vote for wildland preservation. Overall, this article provides empirical support for using the cognitive hierarchy when attempting to understand and predict responses to natural resource issues.", "author" : [ { "dropping-particle" : "", "family" : "Vaske", "given" : "Jerry J", "non-dropping-particle" : "", "parse-names" : false, "suffix" : "" }, { "dropping-particle" : "", "family" : "Donnelly", "given" : "Maureen P.", "non-dropping-particle" : "", "parse-names" : false, "suffix" : "" } ], "container-title" : "Society &amp; Natural Resources", "id" : "ITEM-1", "issue" : "6", "issued" : { "date-parts" : [ [ "1999", "8" ] ] }, "page" : "523-537", "publisher" : "Routledge", "title" : "A Value-Attitude-Behavior Model Predicting Wildland Preservation Voting Intentions", "type" : "article-journal", "volume" : "12" }, "uris" : [ "http://www.mendeley.com/documents/?uuid=c38515de-8e11-4261-bdad-081d9807e807" ] } ], "mendeley" : { "formattedCitation" : "(Vaske and Donnelly 1999)", "plainTextFormattedCitation" : "(Vaske and Donnelly 1999)", "previouslyFormattedCitation" : "(Vaske and Donnelly 1999)" }, "properties" : { "noteIndex" : 0 }, "schema" : "https://github.com/citation-style-language/schema/raw/master/csl-citation.json" }</w:instrText>
      </w:r>
      <w:r>
        <w:rPr>
          <w:rFonts w:cs="Arial"/>
          <w:sz w:val="20"/>
        </w:rPr>
        <w:fldChar w:fldCharType="separate"/>
      </w:r>
      <w:r w:rsidRPr="0047505E">
        <w:rPr>
          <w:rFonts w:cs="Arial"/>
          <w:noProof/>
          <w:sz w:val="20"/>
        </w:rPr>
        <w:t>(Vaske and Donnelly 1999)</w:t>
      </w:r>
      <w:r>
        <w:rPr>
          <w:rFonts w:cs="Arial"/>
          <w:sz w:val="20"/>
        </w:rPr>
        <w:fldChar w:fldCharType="end"/>
      </w:r>
      <w:r>
        <w:rPr>
          <w:rFonts w:cs="Arial"/>
          <w:sz w:val="20"/>
        </w:rPr>
        <w:t xml:space="preserve"> and can be found on a continuum between eco-centric and anthropocentric value orientations. Whereas anthropocentric value orientations stress the instrumental use of nature, , eco-centric value orientations put more emphasis on the intrinsic value of nature, . The importance of environmental value orientations as underlying constructs for assigned values and attitudes has been put forward by several scholars in environmental psychology </w:t>
      </w:r>
      <w:r>
        <w:rPr>
          <w:rFonts w:cs="Arial"/>
          <w:sz w:val="20"/>
        </w:rPr>
        <w:fldChar w:fldCharType="begin" w:fldLock="1"/>
      </w:r>
      <w:r>
        <w:rPr>
          <w:rFonts w:cs="Arial"/>
          <w:sz w:val="20"/>
        </w:rPr>
        <w:instrText>ADDIN CSL_CITATION { "citationItems" : [ { "id" : "ITEM-1", "itemData" : { "DOI" : "10.1080/089419299279425", "ISSN" : "0894-1920", "abstract" : "This article examines the value attitude behavior cognitive hierarchy as it pertains to wildland preservation. Data for this investigation were obtained from a random sample of Colorado residents (n=960). A biocentric/anthropocentric value orientation continuum was developed and examined empirically. Consistent with previous research, confirmatory factor analysis and reliability analysis suggested that a respondent's value orientation toward wildlands can be positioned along this single continuum. As predicted by theory, a structural equation analysis demonstrated that the biocentric/anthropocentric value orientation continuum predicted a respondent's attitude toward the preservation of wildlands, and that the attitude fully mediated the relationship between value orientation and behavioral intention to vote for wildland preservation. Overall, this article provides empirical support for using the cognitive hierarchy when attempting to understand and predict responses to natural resource issues. This article examines the value attitude behavior cognitive hierarchy as it pertains to wildland preservation. Data for this investigation were obtained from a random sample of Colorado residents (n=960). A biocentric/anthropocentric value orientation continuum was developed and examined empirically. Consistent with previous research, confirmatory factor analysis and reliability analysis suggested that a respondent's value orientation toward wildlands can be positioned along this single continuum. As predicted by theory, a structural equation analysis demonstrated that the biocentric/anthropocentric value orientation continuum predicted a respondent's attitude toward the preservation of wildlands, and that the attitude fully mediated the relationship between value orientation and behavioral intention to vote for wildland preservation. Overall, this article provides empirical support for using the cognitive hierarchy when attempting to understand and predict responses to natural resource issues.", "author" : [ { "dropping-particle" : "", "family" : "Vaske", "given" : "Jerry J", "non-dropping-particle" : "", "parse-names" : false, "suffix" : "" }, { "dropping-particle" : "", "family" : "Donnelly", "given" : "Maureen P.", "non-dropping-particle" : "", "parse-names" : false, "suffix" : "" } ], "container-title" : "Society &amp; Natural Resources", "id" : "ITEM-1", "issue" : "6", "issued" : { "date-parts" : [ [ "1999", "8" ] ] }, "page" : "523-537", "publisher" : "Routledge", "title" : "A Value-Attitude-Behavior Model Predicting Wildland Preservation Voting Intentions", "type" : "article-journal", "volume" : "12" }, "uris" : [ "http://www.mendeley.com/documents/?uuid=c38515de-8e11-4261-bdad-081d9807e807" ] }, { "id" : "ITEM-2", "itemData" : { "DOI" : "10.1080/10871209609359060", "ISSN" : "1087-1209", "abstract" : "Abstract This paper develops a conceptual framework for studying human values toward wildlife. A measurement instrument for assessing basic wildlife beliefs and wildlife value orientations concerning issues of enduring relevance to wildlife management and planning was developed using the domain sampling approach. Results of confirmatory factor analysis and reliability analysis indicate that a reliable and internally consistent measurement tool for evaluating basic wildlife beliefs and wildlife value orientations was developed. Structural equation analyses conducted using LISREL 8 indicated the value orientations predicted attitudes well and that attitudes largely acted as a mediator in the relationship between wildlife value orientations and behavioral intention. These results provide support for the hierarchical model of social cognition that forms the foundation of the conceptual framework for studying wildlife value orientations.\nAbstract This paper develops a conceptual framework for studying human values toward wildlife. A measurement instrument for assessing basic wildlife beliefs and wildlife value orientations concerning issues of enduring relevance to wildlife management and planning was developed using the domain sampling approach. Results of confirmatory factor analysis and reliability analysis indicate that a reliable and internally consistent measurement tool for evaluating basic wildlife beliefs and wildlife value orientations was developed. Structural equation analyses conducted using LISREL 8 indicated the value orientations predicted attitudes well and that attitudes largely acted as a mediator in the relationship between wildlife value orientations and behavioral intention. These results provide support for the hierarchical model of social cognition that forms the foundation of the conceptual framework for studying wildlife value orientations.", "author" : [ { "dropping-particle" : "", "family" : "Fulton", "given" : "David C.", "non-dropping-particle" : "", "parse-names" : false, "suffix" : "" }, { "dropping-particle" : "", "family" : "Manfredo", "given" : "Michael J.", "non-dropping-particle" : "", "parse-names" : false, "suffix" : "" }, { "dropping-particle" : "", "family" : "Lipscomb", "given" : "James", "non-dropping-particle" : "", "parse-names" : false, "suffix" : "" } ], "container-title" : "Human Dimensions of Wildlife", "id" : "ITEM-2", "issue" : "2", "issued" : { "date-parts" : [ [ "1996", "6" ] ] }, "page" : "24-47", "publisher" : "Routledge", "title" : "Wildlife value orientations: A conceptual and measurement approach", "type" : "article-journal", "volume" : "1" }, "uris" : [ "http://www.mendeley.com/documents/?uuid=31dc3ef8-570d-48c2-b0d9-2fd6839f4603" ] }, { "id" : "ITEM-3", "itemData" : { "DOI" : "10.1111/j.1540-4560.1994.tb02420.x", "ISSN" : "00224537", "author" : [ { "dropping-particle" : "", "family" : "Stern", "given" : "Paul C.", "non-dropping-particle" : "", "parse-names" : false, "suffix" : "" }, { "dropping-particle" : "", "family" : "Dietz", "given" : "Thomas", "non-dropping-particle" : "", "parse-names" : false, "suffix" : "" } ], "container-title" : "Journal of Social Issues", "id" : "ITEM-3", "issue" : "3", "issued" : { "date-parts" : [ [ "1994", "10" ] ] }, "page" : "65-84", "title" : "The Value Basis of Environmental Concern", "type" : "article-journal", "volume" : "50" }, "uris" : [ "http://www.mendeley.com/documents/?uuid=0efb1ba7-ab61-416c-b5a0-c62c623ea9d0" ] }, { "id" : "ITEM-4", "itemData" : { "DOI" : "10.1016/S0169-2046(01)00243-2", "ISSN" : "01692046", "author" : [ { "dropping-particle" : "", "family" : "Kaltenborn", "given" : "Bj\u00f8rn P.", "non-dropping-particle" : "", "parse-names" : false, "suffix" : "" }, { "dropping-particle" : "", "family" : "Bjerke", "given" : "Tore", "non-dropping-particle" : "", "parse-names" : false, "suffix" : "" } ], "container-title" : "Landscape and Urban Planning", "id" : "ITEM-4", "issue" : "1", "issued" : { "date-parts" : [ [ "2002", "3" ] ] }, "page" : "1-11", "title" : "Associations between environmental value orientations and landscape preferences", "type" : "article-journal", "volume" : "59" }, "uris" : [ "http://www.mendeley.com/documents/?uuid=23ad9cd8-d0cd-48af-9f5d-d36eea560fd0" ] } ], "mendeley" : { "formattedCitation" : "(Stern and Dietz 1994; Fulton et al 1996; Vaske and Donnelly 1999; Kaltenborn and Bjerke 2002)", "manualFormatting" : "(Stern &amp; Dietz, 1994; Fulton et al., 1996; Vaske &amp; Donnelly, 1999; Kaltenborn &amp; Bjerke, 2002)", "plainTextFormattedCitation" : "(Stern and Dietz 1994; Fulton et al 1996; Vaske and Donnelly 1999; Kaltenborn and Bjerke 2002)", "previouslyFormattedCitation" : "(Stern and Dietz 1994; Fulton et al 1996; Vaske and Donnelly 1999; Kaltenborn and Bjerke 2002)" }, "properties" : { "noteIndex" : 0 }, "schema" : "https://github.com/citation-style-language/schema/raw/master/csl-citation.json" }</w:instrText>
      </w:r>
      <w:r>
        <w:rPr>
          <w:rFonts w:cs="Arial"/>
          <w:sz w:val="20"/>
        </w:rPr>
        <w:fldChar w:fldCharType="separate"/>
      </w:r>
      <w:r w:rsidRPr="00F353CD">
        <w:rPr>
          <w:rFonts w:cs="Arial"/>
          <w:noProof/>
          <w:sz w:val="20"/>
        </w:rPr>
        <w:t>(Stern &amp; Dietz, 1994</w:t>
      </w:r>
      <w:r>
        <w:rPr>
          <w:rFonts w:cs="Arial"/>
          <w:noProof/>
          <w:sz w:val="20"/>
        </w:rPr>
        <w:t xml:space="preserve">; </w:t>
      </w:r>
      <w:r w:rsidRPr="00F353CD">
        <w:rPr>
          <w:rFonts w:cs="Arial"/>
          <w:noProof/>
          <w:sz w:val="20"/>
        </w:rPr>
        <w:t>Fulton</w:t>
      </w:r>
      <w:r>
        <w:rPr>
          <w:rFonts w:cs="Arial"/>
          <w:noProof/>
          <w:sz w:val="20"/>
        </w:rPr>
        <w:t xml:space="preserve"> et al.,</w:t>
      </w:r>
      <w:r w:rsidRPr="00F353CD">
        <w:rPr>
          <w:rFonts w:cs="Arial"/>
          <w:noProof/>
          <w:sz w:val="20"/>
        </w:rPr>
        <w:t xml:space="preserve"> 1996; Vaske &amp; Donnelly, 1999</w:t>
      </w:r>
      <w:r>
        <w:rPr>
          <w:rFonts w:cs="Arial"/>
          <w:noProof/>
          <w:sz w:val="20"/>
        </w:rPr>
        <w:t>;</w:t>
      </w:r>
      <w:r w:rsidRPr="00F22871">
        <w:rPr>
          <w:rFonts w:cs="Arial"/>
          <w:noProof/>
          <w:sz w:val="20"/>
        </w:rPr>
        <w:t xml:space="preserve"> </w:t>
      </w:r>
      <w:r w:rsidRPr="00F353CD">
        <w:rPr>
          <w:rFonts w:cs="Arial"/>
          <w:noProof/>
          <w:sz w:val="20"/>
        </w:rPr>
        <w:t>Kaltenborn &amp; Bjerke, 2002)</w:t>
      </w:r>
      <w:r>
        <w:rPr>
          <w:rFonts w:cs="Arial"/>
          <w:sz w:val="20"/>
        </w:rPr>
        <w:fldChar w:fldCharType="end"/>
      </w:r>
      <w:r>
        <w:rPr>
          <w:rFonts w:cs="Arial"/>
          <w:sz w:val="20"/>
        </w:rPr>
        <w:t xml:space="preserve">, but the link between environmental value orientations and values for ESs has been poorly studied.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The ES framework provides an anthropocentric frame and emphasizing the benefits provided by nature for human well-being. </w:t>
      </w:r>
      <w:proofErr w:type="spellStart"/>
      <w:r>
        <w:rPr>
          <w:rFonts w:cs="Arial"/>
          <w:sz w:val="20"/>
        </w:rPr>
        <w:t>Opdam</w:t>
      </w:r>
      <w:proofErr w:type="spellEnd"/>
      <w:r>
        <w:rPr>
          <w:rFonts w:cs="Arial"/>
          <w:sz w:val="20"/>
        </w:rPr>
        <w:t xml:space="preserve"> et al. (2015) argue, however, that even within the larger frame of the ES approach, the three ES categories, cultural, regulating and PES, correspond with three </w:t>
      </w:r>
      <w:r>
        <w:rPr>
          <w:rFonts w:cs="Arial"/>
          <w:sz w:val="20"/>
        </w:rPr>
        <w:lastRenderedPageBreak/>
        <w:t xml:space="preserve">different storylines. They argue that RES correspond with a socio-cultural frame that emphasizes cultural benefits, RES correspond with a sustainability frame, and PES correspond with an economic frame . Our results partially confirm this conceptualization, although we have found two perspectives that do not correspond with values for ES categories.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The eco-centric perspective did not correlate with values for ESs in </w:t>
      </w:r>
      <w:proofErr w:type="spellStart"/>
      <w:r>
        <w:rPr>
          <w:rFonts w:cs="Arial"/>
          <w:sz w:val="20"/>
        </w:rPr>
        <w:t>Persina</w:t>
      </w:r>
      <w:proofErr w:type="spellEnd"/>
      <w:r>
        <w:rPr>
          <w:rFonts w:cs="Arial"/>
          <w:sz w:val="20"/>
        </w:rPr>
        <w:t xml:space="preserve"> which may indicate that the ES framework, with its focus on instrumental values, does not fit with eco-centric motivations for nature conservation </w:t>
      </w:r>
      <w:r>
        <w:rPr>
          <w:rFonts w:cs="Arial"/>
          <w:sz w:val="20"/>
        </w:rPr>
        <w:fldChar w:fldCharType="begin" w:fldLock="1"/>
      </w:r>
      <w:r>
        <w:rPr>
          <w:rFonts w:cs="Arial"/>
          <w:sz w:val="20"/>
        </w:rPr>
        <w:instrText>ADDIN CSL_CITATION { "citationItems" : [ { "id" : "ITEM-1", "itemData" : { "DOI" : "10.1525/bio.2012.62.12.4", "ISSN" : "00063568", "author" : [ { "dropping-particle" : "", "family" : "Luck", "given" : "Gary W.", "non-dropping-particle" : "", "parse-names" : false, "suffix" : "" }, { "dropping-particle" : "", "family" : "Chan", "given" : "Kai M. A.", "non-dropping-particle" : "", "parse-names" : false, "suffix" : "" }, { "dropping-particle" : "", "family" : "Eser", "given" : "Uta", "non-dropping-particle" : "", "parse-names" : false, "suffix" : "" }, { "dropping-particle" : "", "family" : "G\u00f3mez-Baggethun", "given" : "Erik", "non-dropping-particle" : "", "parse-names" : false, "suffix" : "" }, { "dropping-particle" : "", "family" : "Matzdorf", "given" : "Bettina", "non-dropping-particle" : "", "parse-names" : false, "suffix" : "" }, { "dropping-particle" : "", "family" : "Norton", "given" : "Bryan", "non-dropping-particle" : "", "parse-names" : false, "suffix" : "" }, { "dropping-particle" : "", "family" : "Potschin", "given" : "Marion B.", "non-dropping-particle" : "", "parse-names" : false, "suffix" : "" } ], "container-title" : "BioScience", "id" : "ITEM-1", "issue" : "12", "issued" : { "date-parts" : [ [ "2012", "12", "1" ] ] }, "language" : "en", "page" : "1020-1029", "publisher" : "Oxford University Press", "title" : "Ethical Considerations in On-Ground Applications of the Ecosystem Services Concept", "type" : "article-journal", "volume" : "62" }, "uris" : [ "http://www.mendeley.com/documents/?uuid=b6700463-8188-44da-b354-19b466f9facf" ] }, { "id" : "ITEM-2", "itemData" : { "DOI" : "10.1038/443027a", "ISSN" : "1476-4687", "PMID" : "16957711", "abstract" : "With scant evidence that market-based conservation works, argues Douglas J. McCauley, the time is ripe for returning to the protection of nature for nature's sake.", "author" : [ { "dropping-particle" : "", "family" : "McCauley", "given" : "Douglas J", "non-dropping-particle" : "", "parse-names" : false, "suffix" : "" } ], "container-title" : "Nature", "id" : "ITEM-2", "issue" : "7107", "issued" : { "date-parts" : [ [ "2006", "9", "7" ] ] }, "page" : "27-8", "title" : "Selling out on nature.", "title-short" : "Nature", "type" : "article-journal", "volume" : "443" }, "uris" : [ "http://www.mendeley.com/documents/?uuid=4743e0c3-914f-451f-acab-c2a35222b312" ] }, { "id" : "ITEM-3", "itemData" : { "DOI" : "10.1016/j.ecolecon.2009.11.009", "ISSN" : "09218009", "abstract" : "What started as a humble metaphor to help us think about our relation to nature has become integral to how we are addressing the future of humanity and the course of biological evolution. The metaphor of nature as a stock that provides a flow of services is insufficient for the difficulties we are in or the task ahead. Indeed, combined with the mistaken presumption that we can analyze a global problem within a partial equilibrium economic framework and reach a new economy project-by-project without major institutional change, the simplicity of the stock-flow framework blinds us to the complexity of the human predicament. The ecosystem services approach can be a part of a larger solution, but its dominance in our characterization of our situation and the solution is blinding us to the ecological, economic, and political complexities of the challenges we actually face.", "author" : [ { "dropping-particle" : "", "family" : "Norgaard", "given" : "Richard B.", "non-dropping-particle" : "", "parse-names" : false, "suffix" : "" } ], "container-title" : "Ecological Economics", "id" : "ITEM-3", "issue" : "6", "issued" : { "date-parts" : [ [ "2010", "4" ] ] }, "page" : "1219-1227", "title" : "Ecosystem services: From eye-opening metaphor to complexity blinder", "type" : "article-journal", "volume" : "69" }, "uris" : [ "http://www.mendeley.com/documents/?uuid=acc80c00-e372-4ace-8760-0a01d754df98" ] } ], "mendeley" : { "formattedCitation" : "(McCauley 2006; Norgaard 2010; Luck et al 2012)", "manualFormatting" : " (McCauley, 2006; Norgaard, 2010; Luck et al., 2012)", "plainTextFormattedCitation" : "(McCauley 2006; Norgaard 2010; Luck et al 2012)", "previouslyFormattedCitation" : "(McCauley 2006; Norgaard 2010; Luck et al 2012)" }, "properties" : { "noteIndex" : 0 }, "schema" : "https://github.com/citation-style-language/schema/raw/master/csl-citation.json" }</w:instrText>
      </w:r>
      <w:r>
        <w:rPr>
          <w:rFonts w:cs="Arial"/>
          <w:sz w:val="20"/>
        </w:rPr>
        <w:fldChar w:fldCharType="separate"/>
      </w:r>
      <w:r w:rsidRPr="00A81FC1">
        <w:rPr>
          <w:rFonts w:cs="Arial"/>
          <w:noProof/>
          <w:sz w:val="20"/>
        </w:rPr>
        <w:t xml:space="preserve"> </w:t>
      </w:r>
      <w:r>
        <w:rPr>
          <w:rFonts w:cs="Arial"/>
          <w:noProof/>
          <w:sz w:val="20"/>
        </w:rPr>
        <w:t>(</w:t>
      </w:r>
      <w:r w:rsidRPr="00A81FC1">
        <w:rPr>
          <w:rFonts w:cs="Arial"/>
          <w:noProof/>
          <w:sz w:val="20"/>
        </w:rPr>
        <w:t>McCauley, 2006; Norgaard, 2010</w:t>
      </w:r>
      <w:r>
        <w:rPr>
          <w:rFonts w:cs="Arial"/>
          <w:noProof/>
          <w:sz w:val="20"/>
        </w:rPr>
        <w:t>;</w:t>
      </w:r>
      <w:r w:rsidRPr="00881998">
        <w:rPr>
          <w:rFonts w:cs="Arial"/>
          <w:noProof/>
          <w:sz w:val="20"/>
        </w:rPr>
        <w:t xml:space="preserve"> </w:t>
      </w:r>
      <w:r>
        <w:rPr>
          <w:rFonts w:cs="Arial"/>
          <w:noProof/>
          <w:sz w:val="20"/>
        </w:rPr>
        <w:t>Luck et al., 2012</w:t>
      </w:r>
      <w:r w:rsidRPr="00A81FC1">
        <w:rPr>
          <w:rFonts w:cs="Arial"/>
          <w:noProof/>
          <w:sz w:val="20"/>
        </w:rPr>
        <w:t>)</w:t>
      </w:r>
      <w:r>
        <w:rPr>
          <w:rFonts w:cs="Arial"/>
          <w:sz w:val="20"/>
        </w:rPr>
        <w:fldChar w:fldCharType="end"/>
      </w:r>
      <w:r w:rsidRPr="00A81FC1">
        <w:rPr>
          <w:rFonts w:cs="Arial"/>
          <w:sz w:val="20"/>
        </w:rPr>
        <w:t xml:space="preserve">. </w:t>
      </w:r>
      <w:r>
        <w:rPr>
          <w:rFonts w:cs="Arial"/>
          <w:sz w:val="20"/>
        </w:rPr>
        <w:t xml:space="preserve">Although several scholars have argued that socio-cultural ES assessments may allow for the integration of eco-centric values </w:t>
      </w:r>
      <w:r>
        <w:rPr>
          <w:rFonts w:cs="Arial"/>
          <w:sz w:val="20"/>
        </w:rPr>
        <w:fldChar w:fldCharType="begin" w:fldLock="1"/>
      </w:r>
      <w:r>
        <w:rPr>
          <w:rFonts w:cs="Arial"/>
          <w:sz w:val="20"/>
        </w:rPr>
        <w:instrText>ADDIN CSL_CITATION { "citationItems" : [ { "id" : "ITEM-1", "itemData" : { "DOI" : "10.1016/j.ecolecon.2013.06.008", "ISSN" : "09218009", "abstract" : "A major strength of the ecosystem services (ESS) concept is that it allows a succinct description of how human well-being depends on nature, showing that the neglect of such dependencies has negative consequences on human well-being and the economy. As ESS refer to human needs and interests, values are to be considered when dealing with the concept in practice. As a result we argue that in using the concept there is a need to be clear about what different dimensions of value are involved, and be aware of ethical issues that might be associated with the concept. A systematic analysis of the ethical implications associated to the ESS concept is still lacking. We address this deficiency by scrutinising value dimensions associated with the concept, and use this to explore the associated ethical implications. We then highlight how improved transparency in the use of the ESS concept can contribute to using its strengths without succumbing to possible drawbacks arising from ethical problems. These problems concern the dangers that some uses of the concept have in obscuring certain types of value, and in masking unevenness in the distribution of costs and benefits that can arise in the management of ESS.", "author" : [ { "dropping-particle" : "", "family" : "Jax", "given" : "Kurt", "non-dropping-particle" : "", "parse-names" : false, "suffix" : "" }, { "dropping-particle" : "", "family" : "Barton", "given" : "David N.", "non-dropping-particle" : "", "parse-names" : false, "suffix" : "" }, { "dropping-particle" : "", "family" : "Chan", "given" : "Kai M.A.", "non-dropping-particle" : "", "parse-names" : false, "suffix" : "" }, { "dropping-particle" : "", "family" : "Groot", "given" : "Rudolf", "non-dropping-particle" : "de", "parse-names" : false, "suffix" : "" }, { "dropping-particle" : "", "family" : "Doyle", "given" : "Ulrike", "non-dropping-particle" : "", "parse-names" : false, "suffix" : "" }, { "dropping-particle" : "", "family" : "Eser", "given" : "Uta", "non-dropping-particle" : "", "parse-names" : false, "suffix" : "" }, { "dropping-particle" : "", "family" : "G\u00f6rg", "given" : "Christoph", "non-dropping-particle" : "", "parse-names" : false, "suffix" : "" }, { "dropping-particle" : "", "family" : "G\u00f3mez-Baggethun", "given" : "Erik", "non-dropping-particle" : "", "parse-names" : false, "suffix" : "" }, { "dropping-particle" : "", "family" : "Griewald", "given" : "Yuliana", "non-dropping-particle" : "", "parse-names" : false, "suffix" : "" }, { "dropping-particle" : "", "family" : "Haber", "given" : "Wolfgang", "non-dropping-particle" : "", "parse-names" : false, "suffix" : "" }, { "dropping-particle" : "", "family" : "Haines-Young", "given" : "Roy", "non-dropping-particle" : "", "parse-names" : false, "suffix" : "" }, { "dropping-particle" : "", "family" : "Heink", "given" : "Ulrich", "non-dropping-particle" : "", "parse-names" : false, "suffix" : "" }, { "dropping-particle" : "", "family" : "Jahn", "given" : "Thomas", "non-dropping-particle" : "", "parse-names" : false, "suffix" : "" }, { "dropping-particle" : "", "family" : "Joosten", "given" : "Hans", "non-dropping-particle" : "", "parse-names" : false, "suffix" : "" }, { "dropping-particle" : "", "family" : "Kerschbaumer", "given" : "Lilin", "non-dropping-particle" : "", "parse-names" : false, "suffix" : "" }, { "dropping-particle" : "", "family" : "Korn", "given" : "Horst", "non-dropping-particle" : "", "parse-names" : false, "suffix" : "" }, { "dropping-particle" : "", "family" : "Luck", "given" : "Gary W.", "non-dropping-particle" : "", "parse-names" : false, "suffix" : "" }, { "dropping-particle" : "", "family" : "Matzdorf", "given" : "Bettina", "non-dropping-particle" : "", "parse-names" : false, "suffix" : "" }, { "dropping-particle" : "", "family" : "Muraca", "given" : "Barbara", "non-dropping-particle" : "", "parse-names" : false, "suffix" : "" }, { "dropping-particle" : "", "family" : "Ne\u00dfh\u00f6ver", "given" : "Carsten", "non-dropping-particle" : "", "parse-names" : false, "suffix" : "" }, { "dropping-particle" : "", "family" : "Norton", "given" : "Bryan", "non-dropping-particle" : "", "parse-names" : false, "suffix" : "" }, { "dropping-particle" : "", "family" : "Ott", "given" : "Konrad", "non-dropping-particle" : "", "parse-names" : false, "suffix" : "" }, { "dropping-particle" : "", "family" : "Potschin", "given" : "Marion", "non-dropping-particle" : "", "parse-names" : false, "suffix" : "" }, { "dropping-particle" : "", "family" : "Rauschmayer", "given" : "Felix", "non-dropping-particle" : "", "parse-names" : false, "suffix" : "" }, { "dropping-particle" : "", "family" : "Haaren", "given" : "Christina", "non-dropping-particle" : "von", "parse-names" : false, "suffix" : "" }, { "dropping-particle" : "", "family" : "Wichmann", "given" : "Sabine", "non-dropping-particle" : "", "parse-names" : false, "suffix" : "" } ], "container-title" : "Ecological Economics", "id" : "ITEM-1", "issued" : { "date-parts" : [ [ "2013", "9" ] ] }, "page" : "260-268", "title" : "Ecosystem services and ethics", "type" : "article-journal", "volume" : "93" }, "uris" : [ "http://www.mendeley.com/documents/?uuid=20b3ca0e-b786-4faa-ac69-a0ba2fe1e8b1" ] }, { "id" : "ITEM-2", "itemData" : { "DOI" : "10.1111/conl.12091", "ISSN" : "1755263X", "author" : [ { "dropping-particle" : "", "family" : "Schr\u00f6ter", "given" : "Matthias", "non-dropping-particle" : "", "parse-names" : false, "suffix" : "" }, { "dropping-particle" : "", "family" : "Zanden", "given" : "Emma H.", "non-dropping-particle" : "van der", "parse-names" : false, "suffix" : "" }, { "dropping-particle" : "", "family" : "Oudenhoven", "given" : "Alexander P.E.", "non-dropping-particle" : "van", "parse-names" : false, "suffix" : "" }, { "dropping-particle" : "", "family" : "Remme", "given" : "Roy P.", "non-dropping-particle" : "", "parse-names" : false, "suffix" : "" }, { "dropping-particle" : "", "family" : "Serna-Chavez", "given" : "Hector M.", "non-dropping-particle" : "", "parse-names" : false, "suffix" : "" }, { "dropping-particle" : "", "family" : "Groot", "given" : "Rudolf S.", "non-dropping-particle" : "de", "parse-names" : false, "suffix" : "" }, { "dropping-particle" : "", "family" : "Opdam", "given" : "Paul", "non-dropping-particle" : "", "parse-names" : false, "suffix" : "" } ], "container-title" : "Conservation Letters", "id" : "ITEM-2", "issue" : "6", "issued" : { "date-parts" : [ [ "2014", "2", "17" ] ] }, "page" : "n/a-n/a", "title" : "Ecosystem services as a contested concept: a synthesis of critique and counter-arguments", "type" : "article-journal", "volume" : "7" }, "uris" : [ "http://www.mendeley.com/documents/?uuid=783ae4d1-63c6-4dae-9010-a66a59962858" ] } ], "mendeley" : { "formattedCitation" : "(Jax et al 2013; Schr\u00f6ter et al 2014)", "manualFormatting" : "(Jax et al., 2013; Schr\u00f6ter et al., 2014)", "plainTextFormattedCitation" : "(Jax et al 2013; Schr\u00f6ter et al 2014)", "previouslyFormattedCitation" : "(Jax et al 2013; Schr\u00f6ter et al 2014)" }, "properties" : { "noteIndex" : 0 }, "schema" : "https://github.com/citation-style-language/schema/raw/master/csl-citation.json" }</w:instrText>
      </w:r>
      <w:r>
        <w:rPr>
          <w:rFonts w:cs="Arial"/>
          <w:sz w:val="20"/>
        </w:rPr>
        <w:fldChar w:fldCharType="separate"/>
      </w:r>
      <w:r w:rsidRPr="00A77CAD">
        <w:rPr>
          <w:rFonts w:cs="Arial"/>
          <w:noProof/>
          <w:sz w:val="20"/>
        </w:rPr>
        <w:t>(Jax et al., 2013; Schröter et al., 2014)</w:t>
      </w:r>
      <w:r>
        <w:rPr>
          <w:rFonts w:cs="Arial"/>
          <w:sz w:val="20"/>
        </w:rPr>
        <w:fldChar w:fldCharType="end"/>
      </w:r>
      <w:r>
        <w:rPr>
          <w:rFonts w:cs="Arial"/>
          <w:sz w:val="20"/>
        </w:rPr>
        <w:t>,</w:t>
      </w:r>
      <w:r w:rsidRPr="00A81FC1">
        <w:rPr>
          <w:rFonts w:cs="Arial"/>
          <w:sz w:val="20"/>
        </w:rPr>
        <w:t xml:space="preserve"> </w:t>
      </w:r>
      <w:r>
        <w:rPr>
          <w:rFonts w:cs="Arial"/>
          <w:sz w:val="20"/>
        </w:rPr>
        <w:t>most ES valuation studies have not attempted to explicitly address eco-centric values.</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T</w:t>
      </w:r>
      <w:r w:rsidRPr="00A81FC1">
        <w:rPr>
          <w:rFonts w:cs="Arial"/>
          <w:sz w:val="20"/>
        </w:rPr>
        <w:t>he</w:t>
      </w:r>
      <w:r>
        <w:rPr>
          <w:rFonts w:cs="Arial"/>
          <w:sz w:val="20"/>
        </w:rPr>
        <w:t xml:space="preserve"> negative perspective also did not correlate with values for ESs. One of the critiques on the ES framework is its positive framing, implying that all outcomes of ecological processes are desirable </w:t>
      </w:r>
      <w:r>
        <w:rPr>
          <w:rFonts w:cs="Arial"/>
          <w:sz w:val="20"/>
        </w:rPr>
        <w:fldChar w:fldCharType="begin" w:fldLock="1"/>
      </w:r>
      <w:r>
        <w:rPr>
          <w:rFonts w:cs="Arial"/>
          <w:sz w:val="20"/>
        </w:rPr>
        <w:instrText>ADDIN CSL_CITATION { "citationItems" : [ { "id" : "ITEM-1", "itemData" : { "DOI" : "10.1038/443027a", "ISSN" : "1476-4687", "PMID" : "16957711", "abstract" : "With scant evidence that market-based conservation works, argues Douglas J. McCauley, the time is ripe for returning to the protection of nature for nature's sake.", "author" : [ { "dropping-particle" : "", "family" : "McCauley", "given" : "Douglas J", "non-dropping-particle" : "", "parse-names" : false, "suffix" : "" } ], "container-title" : "Nature", "id" : "ITEM-1", "issue" : "7107", "issued" : { "date-parts" : [ [ "2006", "9", "7" ] ] }, "page" : "27-8", "title" : "Selling out on nature.", "title-short" : "Nature", "type" : "article-journal", "volume" : "443" }, "uris" : [ "http://www.mendeley.com/documents/?uuid=4743e0c3-914f-451f-acab-c2a35222b312" ] }, { "id" : "ITEM-2", "itemData" : { "DOI" : "10.1111/conl.12091", "ISSN" : "1755263X", "author" : [ { "dropping-particle" : "", "family" : "Schr\u00f6ter", "given" : "Matthias", "non-dropping-particle" : "", "parse-names" : false, "suffix" : "" }, { "dropping-particle" : "", "family" : "Zanden", "given" : "Emma H.", "non-dropping-particle" : "van der", "parse-names" : false, "suffix" : "" }, { "dropping-particle" : "", "family" : "Oudenhoven", "given" : "Alexander P.E.", "non-dropping-particle" : "van", "parse-names" : false, "suffix" : "" }, { "dropping-particle" : "", "family" : "Remme", "given" : "Roy P.", "non-dropping-particle" : "", "parse-names" : false, "suffix" : "" }, { "dropping-particle" : "", "family" : "Serna-Chavez", "given" : "Hector M.", "non-dropping-particle" : "", "parse-names" : false, "suffix" : "" }, { "dropping-particle" : "", "family" : "Groot", "given" : "Rudolf S.", "non-dropping-particle" : "de", "parse-names" : false, "suffix" : "" }, { "dropping-particle" : "", "family" : "Opdam", "given" : "Paul", "non-dropping-particle" : "", "parse-names" : false, "suffix" : "" } ], "container-title" : "Conservation Letters", "id" : "ITEM-2", "issue" : "6", "issued" : { "date-parts" : [ [ "2014", "2", "17" ] ] }, "page" : "n/a-n/a", "title" : "Ecosystem services as a contested concept: a synthesis of critique and counter-arguments", "type" : "article-journal", "volume" : "7" }, "uris" : [ "http://www.mendeley.com/documents/?uuid=783ae4d1-63c6-4dae-9010-a66a59962858" ] } ], "mendeley" : { "formattedCitation" : "(McCauley 2006; Schr\u00f6ter et al 2014)", "plainTextFormattedCitation" : "(McCauley 2006; Schr\u00f6ter et al 2014)", "previouslyFormattedCitation" : "(McCauley 2006; Schr\u00f6ter et al 2014)" }, "properties" : { "noteIndex" : 0 }, "schema" : "https://github.com/citation-style-language/schema/raw/master/csl-citation.json" }</w:instrText>
      </w:r>
      <w:r>
        <w:rPr>
          <w:rFonts w:cs="Arial"/>
          <w:sz w:val="20"/>
        </w:rPr>
        <w:fldChar w:fldCharType="separate"/>
      </w:r>
      <w:r w:rsidRPr="0047505E">
        <w:rPr>
          <w:rFonts w:cs="Arial"/>
          <w:noProof/>
          <w:sz w:val="20"/>
        </w:rPr>
        <w:t>(McCauley 2006; Schröter et al 2014)</w:t>
      </w:r>
      <w:r>
        <w:rPr>
          <w:rFonts w:cs="Arial"/>
          <w:sz w:val="20"/>
        </w:rPr>
        <w:fldChar w:fldCharType="end"/>
      </w:r>
      <w:r>
        <w:rPr>
          <w:rFonts w:cs="Arial"/>
          <w:sz w:val="20"/>
        </w:rPr>
        <w:t xml:space="preserve">. Our results show that 22% of the respondents had negative associations with marshes: respondents referred mostly to poor management, mosquitoes, and inaccessibility. This indicates that for a group of the respondents, wetland restoration may come with a certain cost that outweighs the associated benefits. Restoration efforts should therefore not only focus on the benefits provided by ecosystems, but include strategies that deal with potential costs of restoration. </w:t>
      </w:r>
    </w:p>
    <w:p w:rsidR="003F789A" w:rsidRPr="00D179B4" w:rsidRDefault="003F789A" w:rsidP="00E55058">
      <w:pPr>
        <w:tabs>
          <w:tab w:val="left" w:pos="880"/>
        </w:tabs>
        <w:spacing w:after="0" w:line="360" w:lineRule="auto"/>
        <w:rPr>
          <w:rFonts w:cs="Arial"/>
          <w:sz w:val="20"/>
        </w:rPr>
      </w:pPr>
    </w:p>
    <w:p w:rsidR="003F789A" w:rsidRPr="006D566F" w:rsidRDefault="003F789A" w:rsidP="00E55058">
      <w:pPr>
        <w:tabs>
          <w:tab w:val="left" w:pos="880"/>
        </w:tabs>
        <w:spacing w:after="0" w:line="360" w:lineRule="auto"/>
        <w:rPr>
          <w:rFonts w:cs="Arial"/>
          <w:b/>
          <w:sz w:val="20"/>
        </w:rPr>
      </w:pPr>
      <w:r w:rsidRPr="006D566F">
        <w:rPr>
          <w:rFonts w:cs="Arial"/>
          <w:b/>
          <w:sz w:val="20"/>
        </w:rPr>
        <w:t>Fostering public support for wetland restoration</w:t>
      </w:r>
    </w:p>
    <w:p w:rsidR="003F789A" w:rsidRDefault="003F789A" w:rsidP="00E55058">
      <w:pPr>
        <w:tabs>
          <w:tab w:val="left" w:pos="880"/>
        </w:tabs>
        <w:spacing w:after="0" w:line="360" w:lineRule="auto"/>
        <w:rPr>
          <w:rFonts w:cs="Arial"/>
          <w:sz w:val="20"/>
        </w:rPr>
      </w:pPr>
      <w:r>
        <w:rPr>
          <w:rFonts w:cs="Arial"/>
          <w:sz w:val="20"/>
        </w:rPr>
        <w:t xml:space="preserve">In this study, most fishermen had positive values for both the cultural and economic perspective on ESs. Every person is likely to have multiple perspectives, but in differing strengths </w:t>
      </w:r>
      <w:r>
        <w:rPr>
          <w:rFonts w:cs="Arial"/>
          <w:sz w:val="20"/>
        </w:rPr>
        <w:fldChar w:fldCharType="begin" w:fldLock="1"/>
      </w:r>
      <w:r>
        <w:rPr>
          <w:rFonts w:cs="Arial"/>
          <w:sz w:val="20"/>
        </w:rPr>
        <w:instrText>ADDIN CSL_CITATION { "citationItems" : [ { "id" : "ITEM-1", "itemData" : { "author" : [ { "dropping-particle" : "", "family" : "Kollmuss", "given" : "Anja", "non-dropping-particle" : "", "parse-names" : false, "suffix" : "" }, { "dropping-particle" : "", "family" : "Agyeman", "given" : "Julian", "non-dropping-particle" : "", "parse-names" : false, "suffix" : "" } ], "id" : "ITEM-1", "issue" : "November 2013", "issued" : { "date-parts" : [ [ "2002" ] ] }, "note" : "From Duplicate 1 ( \n\n\nMind the Gap : Why do people act environmentally and what are the barriers to pro- environmental behavior ?\n\n\n- Kollmuss, Anja; Agyeman, Julian )\n\n", "page" : "37-41", "title" : "Mind the Gap : Why do people act environmentally and what are the barriers to pro- environmental behavior ?", "type" : "article-journal" }, "uris" : [ "http://www.mendeley.com/documents/?uuid=a7e246a0-462d-4a2b-a477-17b34ccb991d" ] } ], "mendeley" : { "formattedCitation" : "(Kollmuss and Agyeman 2002)", "plainTextFormattedCitation" : "(Kollmuss and Agyeman 2002)", "previouslyFormattedCitation" : "(Kollmuss and Agyeman 2002)" }, "properties" : { "noteIndex" : 0 }, "schema" : "https://github.com/citation-style-language/schema/raw/master/csl-citation.json" }</w:instrText>
      </w:r>
      <w:r>
        <w:rPr>
          <w:rFonts w:cs="Arial"/>
          <w:sz w:val="20"/>
        </w:rPr>
        <w:fldChar w:fldCharType="separate"/>
      </w:r>
      <w:r w:rsidRPr="0047505E">
        <w:rPr>
          <w:rFonts w:cs="Arial"/>
          <w:noProof/>
          <w:sz w:val="20"/>
        </w:rPr>
        <w:t>(Kollmuss and Agyeman 2002)</w:t>
      </w:r>
      <w:r>
        <w:rPr>
          <w:rFonts w:cs="Arial"/>
          <w:sz w:val="20"/>
        </w:rPr>
        <w:fldChar w:fldCharType="end"/>
      </w:r>
      <w:r>
        <w:rPr>
          <w:rFonts w:cs="Arial"/>
          <w:sz w:val="20"/>
        </w:rPr>
        <w:t xml:space="preserve">. </w:t>
      </w:r>
      <w:r w:rsidRPr="006763A7">
        <w:rPr>
          <w:rFonts w:cs="Arial"/>
          <w:sz w:val="20"/>
        </w:rPr>
        <w:t xml:space="preserve">Even though people may </w:t>
      </w:r>
      <w:r>
        <w:rPr>
          <w:rFonts w:cs="Arial"/>
          <w:sz w:val="20"/>
        </w:rPr>
        <w:t>adhere to</w:t>
      </w:r>
      <w:r w:rsidRPr="006763A7">
        <w:rPr>
          <w:rFonts w:cs="Arial"/>
          <w:sz w:val="20"/>
        </w:rPr>
        <w:t xml:space="preserve"> multiple motivations for wetland restoration, when goals related to these motivations conflict, a choice has to be made. </w:t>
      </w:r>
      <w:r>
        <w:rPr>
          <w:rFonts w:cs="Arial"/>
          <w:sz w:val="20"/>
        </w:rPr>
        <w:fldChar w:fldCharType="begin" w:fldLock="1"/>
      </w:r>
      <w:r>
        <w:rPr>
          <w:rFonts w:cs="Arial"/>
          <w:sz w:val="20"/>
        </w:rPr>
        <w:instrText>ADDIN CSL_CITATION { "citationItems" : [ { "id" : "ITEM-1", "itemData" : { "DOI" : "10.1177/0013916506297831", "ISSN" : "0013-9165", "abstract" : "In environmental literature it is argued that three different value orientations may be relevant for understanding environmental beliefs and intentions: egoistic, altruistic, and biospheric. Until now, the distinction between altruistic and biospheric value orientations has hardly been supported empirically. In this article, three studies are reported aimed to examine whether an egoistic, altruistic, and biospheric value orientation can indeed be distinguished empirically by using an adapted value instrument. Also, it is examined whether these value orientations are differently and uniquely related to general and specific beliefs and behavioral intention. Results provide support for the reliability and validity of the value instrument. All studies replicated the distinction into three value orientations, with sufficient internal consistency. Furthermore, when altruistic and biospheric goals conflict, they seem to provide a distinct basis for proenvironmental intentions. The value instrument could therefore be useful to better understand relationships between values, beliefs, and intentions related to environmentally significant behavior.", "author" : [ { "dropping-particle" : "", "family" : "Groot", "given" : "J. I. M.", "non-dropping-particle" : "de", "parse-names" : false, "suffix" : "" }, { "dropping-particle" : "", "family" : "Steg", "given" : "L.", "non-dropping-particle" : "", "parse-names" : false, "suffix" : "" } ], "container-title" : "Environment and Behavior", "id" : "ITEM-1", "issue" : "3", "issued" : { "date-parts" : [ [ "2007", "8", "2" ] ] }, "page" : "330-354", "title" : "Value Orientations to Explain Beliefs Related to Environmental Significant Behavior: How to Measure Egoistic, Altruistic, and Biospheric Value Orientations", "type" : "article-journal", "volume" : "40" }, "uris" : [ "http://www.mendeley.com/documents/?uuid=9fe86f61-a38a-4d4e-9fa6-eb5f9cd915bb" ] } ], "mendeley" : { "formattedCitation" : "(de Groot and Steg 2007)", "manualFormatting" : "De Groot &amp; Steg (2007)", "plainTextFormattedCitation" : "(de Groot and Steg 2007)", "previouslyFormattedCitation" : "(de Groot and Steg 2007)" }, "properties" : { "noteIndex" : 0 }, "schema" : "https://github.com/citation-style-language/schema/raw/master/csl-citation.json" }</w:instrText>
      </w:r>
      <w:r>
        <w:rPr>
          <w:rFonts w:cs="Arial"/>
          <w:sz w:val="20"/>
        </w:rPr>
        <w:fldChar w:fldCharType="separate"/>
      </w:r>
      <w:r w:rsidRPr="006763A7">
        <w:rPr>
          <w:rFonts w:cs="Arial"/>
          <w:noProof/>
          <w:sz w:val="20"/>
        </w:rPr>
        <w:t>De Groot &amp; Steg (2007)</w:t>
      </w:r>
      <w:r>
        <w:rPr>
          <w:rFonts w:cs="Arial"/>
          <w:sz w:val="20"/>
        </w:rPr>
        <w:fldChar w:fldCharType="end"/>
      </w:r>
      <w:r w:rsidRPr="006763A7">
        <w:rPr>
          <w:rFonts w:cs="Arial"/>
          <w:sz w:val="20"/>
        </w:rPr>
        <w:t xml:space="preserve"> argued that ‘although altruistic and environmental values may be correlated, altruistic and </w:t>
      </w:r>
      <w:proofErr w:type="spellStart"/>
      <w:r w:rsidRPr="006763A7">
        <w:rPr>
          <w:rFonts w:cs="Arial"/>
          <w:sz w:val="20"/>
        </w:rPr>
        <w:t>biospheric</w:t>
      </w:r>
      <w:proofErr w:type="spellEnd"/>
      <w:r w:rsidRPr="006763A7">
        <w:rPr>
          <w:rFonts w:cs="Arial"/>
          <w:sz w:val="20"/>
        </w:rPr>
        <w:t xml:space="preserve"> goals </w:t>
      </w:r>
      <w:r>
        <w:rPr>
          <w:rFonts w:cs="Arial"/>
          <w:sz w:val="20"/>
        </w:rPr>
        <w:t xml:space="preserve">can </w:t>
      </w:r>
      <w:r w:rsidRPr="006763A7">
        <w:rPr>
          <w:rFonts w:cs="Arial"/>
          <w:sz w:val="20"/>
        </w:rPr>
        <w:t xml:space="preserve">conflict’. As an example: </w:t>
      </w:r>
      <w:r>
        <w:rPr>
          <w:rFonts w:cs="Arial"/>
          <w:sz w:val="20"/>
        </w:rPr>
        <w:t xml:space="preserve">many </w:t>
      </w:r>
      <w:r w:rsidRPr="006763A7">
        <w:rPr>
          <w:rFonts w:cs="Arial"/>
          <w:sz w:val="20"/>
        </w:rPr>
        <w:t>respondents in this study acknowledge</w:t>
      </w:r>
      <w:r>
        <w:rPr>
          <w:rFonts w:cs="Arial"/>
          <w:sz w:val="20"/>
        </w:rPr>
        <w:t>d</w:t>
      </w:r>
      <w:r w:rsidRPr="006763A7">
        <w:rPr>
          <w:rFonts w:cs="Arial"/>
          <w:sz w:val="20"/>
        </w:rPr>
        <w:t xml:space="preserve"> existence values of biodiversity,</w:t>
      </w:r>
      <w:r>
        <w:rPr>
          <w:rFonts w:cs="Arial"/>
          <w:sz w:val="20"/>
        </w:rPr>
        <w:t xml:space="preserve"> but at the same time highly valued PES. People may be sympathetic towards the conservation of biodiversity, </w:t>
      </w:r>
      <w:r w:rsidRPr="006763A7">
        <w:rPr>
          <w:rFonts w:cs="Arial"/>
          <w:sz w:val="20"/>
        </w:rPr>
        <w:t xml:space="preserve">but when it comes to daily practices and actual environmental </w:t>
      </w:r>
      <w:proofErr w:type="spellStart"/>
      <w:r w:rsidRPr="006763A7">
        <w:rPr>
          <w:rFonts w:cs="Arial"/>
          <w:sz w:val="20"/>
        </w:rPr>
        <w:t>behavior</w:t>
      </w:r>
      <w:proofErr w:type="spellEnd"/>
      <w:r w:rsidRPr="006763A7">
        <w:rPr>
          <w:rFonts w:cs="Arial"/>
          <w:sz w:val="20"/>
        </w:rPr>
        <w:t xml:space="preserve">, activities that conflict with biodiversity conservation still </w:t>
      </w:r>
      <w:r>
        <w:rPr>
          <w:rFonts w:cs="Arial"/>
          <w:sz w:val="20"/>
        </w:rPr>
        <w:t xml:space="preserve">have </w:t>
      </w:r>
      <w:r w:rsidRPr="006763A7">
        <w:rPr>
          <w:rFonts w:cs="Arial"/>
          <w:sz w:val="20"/>
        </w:rPr>
        <w:t xml:space="preserve">priority. This emphasizes the necessity of </w:t>
      </w:r>
      <w:r>
        <w:rPr>
          <w:rFonts w:cs="Arial"/>
          <w:sz w:val="20"/>
        </w:rPr>
        <w:t xml:space="preserve">wetland </w:t>
      </w:r>
      <w:r w:rsidRPr="006763A7">
        <w:rPr>
          <w:rFonts w:cs="Arial"/>
          <w:sz w:val="20"/>
        </w:rPr>
        <w:t xml:space="preserve">restoration projects to identify synergies and trade-offs, </w:t>
      </w:r>
      <w:r>
        <w:rPr>
          <w:rFonts w:cs="Arial"/>
          <w:sz w:val="20"/>
        </w:rPr>
        <w:t xml:space="preserve">to </w:t>
      </w:r>
      <w:r w:rsidRPr="006763A7">
        <w:rPr>
          <w:rFonts w:cs="Arial"/>
          <w:sz w:val="20"/>
        </w:rPr>
        <w:t xml:space="preserve">deal with both complementary and competing goals. </w:t>
      </w:r>
      <w:r>
        <w:rPr>
          <w:rFonts w:cs="Arial"/>
          <w:sz w:val="20"/>
        </w:rPr>
        <w:t xml:space="preserve">A targeted approach is necessary to foster support for wetland restoration,. </w:t>
      </w:r>
      <w:r w:rsidRPr="00120C0A">
        <w:rPr>
          <w:rFonts w:cs="Arial"/>
          <w:sz w:val="20"/>
        </w:rPr>
        <w:t xml:space="preserve">Raising awareness can be a useful strategy to foster public support for </w:t>
      </w:r>
      <w:r>
        <w:rPr>
          <w:rFonts w:cs="Arial"/>
          <w:sz w:val="20"/>
        </w:rPr>
        <w:t>wetland restoration</w:t>
      </w:r>
      <w:r w:rsidRPr="00120C0A">
        <w:rPr>
          <w:rFonts w:cs="Arial"/>
          <w:sz w:val="20"/>
        </w:rPr>
        <w:t xml:space="preserve">, but different groups of people may require different kinds of information. Reflecting upon the theory of </w:t>
      </w:r>
      <w:proofErr w:type="spellStart"/>
      <w:r w:rsidRPr="00120C0A">
        <w:rPr>
          <w:rFonts w:cs="Arial"/>
          <w:sz w:val="20"/>
        </w:rPr>
        <w:t>Festinger</w:t>
      </w:r>
      <w:proofErr w:type="spellEnd"/>
      <w:r w:rsidRPr="00120C0A">
        <w:rPr>
          <w:rFonts w:cs="Arial"/>
          <w:sz w:val="20"/>
        </w:rPr>
        <w:t xml:space="preserve"> (1957), </w:t>
      </w:r>
      <w:r>
        <w:rPr>
          <w:rFonts w:cs="Arial"/>
          <w:sz w:val="20"/>
        </w:rPr>
        <w:fldChar w:fldCharType="begin" w:fldLock="1"/>
      </w:r>
      <w:r>
        <w:rPr>
          <w:rFonts w:cs="Arial"/>
          <w:sz w:val="20"/>
        </w:rPr>
        <w:instrText>ADDIN CSL_CITATION { "citationItems" : [ { "id" : "ITEM-1", "itemData" : { "author" : [ { "dropping-particle" : "", "family" : "Kollmuss", "given" : "Anja", "non-dropping-particle" : "", "parse-names" : false, "suffix" : "" }, { "dropping-particle" : "", "family" : "Agyeman", "given" : "Julian", "non-dropping-particle" : "", "parse-names" : false, "suffix" : "" } ], "id" : "ITEM-1", "issue" : "November 2013", "issued" : { "date-parts" : [ [ "2002" ] ] }, "note" : "From Duplicate 1 ( \n\n\nMind the Gap : Why do people act environmentally and what are the barriers to pro- environmental behavior ?\n\n\n- Kollmuss, Anja; Agyeman, Julian )\n\n", "page" : "37-41", "title" : "Mind the Gap : Why do people act environmentally and what are the barriers to pro- environmental behavior ?", "type" : "article-journal" }, "uris" : [ "http://www.mendeley.com/documents/?uuid=a7e246a0-462d-4a2b-a477-17b34ccb991d" ] } ], "mendeley" : { "formattedCitation" : "(Kollmuss and Agyeman 2002)", "manualFormatting" : "Kollmuss &amp; Agyeman (2002)", "plainTextFormattedCitation" : "(Kollmuss and Agyeman 2002)", "previouslyFormattedCitation" : "(Kollmuss and Agyeman 2002)" }, "properties" : { "noteIndex" : 0 }, "schema" : "https://github.com/citation-style-language/schema/raw/master/csl-citation.json" }</w:instrText>
      </w:r>
      <w:r>
        <w:rPr>
          <w:rFonts w:cs="Arial"/>
          <w:sz w:val="20"/>
        </w:rPr>
        <w:fldChar w:fldCharType="separate"/>
      </w:r>
      <w:r>
        <w:rPr>
          <w:rFonts w:cs="Arial"/>
          <w:noProof/>
          <w:sz w:val="20"/>
        </w:rPr>
        <w:t>Kollmuss &amp; Agyeman (</w:t>
      </w:r>
      <w:r w:rsidRPr="00751DC8">
        <w:rPr>
          <w:rFonts w:cs="Arial"/>
          <w:noProof/>
          <w:sz w:val="20"/>
        </w:rPr>
        <w:t>2002)</w:t>
      </w:r>
      <w:r>
        <w:rPr>
          <w:rFonts w:cs="Arial"/>
          <w:sz w:val="20"/>
        </w:rPr>
        <w:fldChar w:fldCharType="end"/>
      </w:r>
      <w:r w:rsidRPr="00120C0A">
        <w:rPr>
          <w:rFonts w:cs="Arial"/>
          <w:sz w:val="20"/>
        </w:rPr>
        <w:t xml:space="preserve"> </w:t>
      </w:r>
      <w:r>
        <w:rPr>
          <w:rFonts w:cs="Arial"/>
          <w:sz w:val="20"/>
        </w:rPr>
        <w:t>argue that ‘</w:t>
      </w:r>
      <w:r w:rsidRPr="00120C0A">
        <w:rPr>
          <w:rFonts w:cs="Arial"/>
          <w:sz w:val="20"/>
        </w:rPr>
        <w:t>information that supports our existing values and mental frameworks is readily accepted</w:t>
      </w:r>
      <w:r>
        <w:rPr>
          <w:rFonts w:cs="Arial"/>
          <w:sz w:val="20"/>
        </w:rPr>
        <w:t>,</w:t>
      </w:r>
      <w:r w:rsidRPr="00120C0A">
        <w:rPr>
          <w:rFonts w:cs="Arial"/>
          <w:sz w:val="20"/>
        </w:rPr>
        <w:t xml:space="preserve"> whereas information that contradicts or undermines our beliefs is </w:t>
      </w:r>
      <w:r>
        <w:rPr>
          <w:rFonts w:cs="Arial"/>
          <w:sz w:val="20"/>
        </w:rPr>
        <w:t>avoided or not perceived at all’</w:t>
      </w:r>
      <w:r w:rsidRPr="00120C0A">
        <w:rPr>
          <w:rFonts w:cs="Arial"/>
          <w:sz w:val="20"/>
        </w:rPr>
        <w:t xml:space="preserve">. </w:t>
      </w:r>
      <w:r>
        <w:rPr>
          <w:rFonts w:cs="Arial"/>
          <w:sz w:val="20"/>
        </w:rPr>
        <w:t xml:space="preserve">This means that the benefits and losses of wetland restoration should be “framed” in ways that resonate with the public </w:t>
      </w:r>
      <w:r>
        <w:rPr>
          <w:rFonts w:cs="Arial"/>
          <w:sz w:val="20"/>
        </w:rPr>
        <w:fldChar w:fldCharType="begin" w:fldLock="1"/>
      </w:r>
      <w:r>
        <w:rPr>
          <w:rFonts w:cs="Arial"/>
          <w:sz w:val="20"/>
        </w:rPr>
        <w:instrText>ADDIN CSL_CITATION { "citationItems" : [ { "id" : "ITEM-1", "itemData" : { "DOI" : "10.1890/090160", "ISSN" : "1540-9295", "abstract" : "The exchange of information between researchers, resource managers, decision makers, and the general public has long been recognized as a critical need in environmental science. We examine the challenges in using ecological knowledge to inform society and to change societal actions, and identify a set of options and strategies to enhance this exchange. Our objectives are to provide background information on societal knowledge and interest in science and environmental issues, to describe how different components of society obtain information and develop their interests and values, and to present a framework for evaluating and improving communication between science and society. Our analysis strongly suggests that the interface between science and society can only be improved with renewed dedication to public outreach and a wholesale reconsideration of the way that scientists communicate with society. Ecologists need to adopt new models of engagement with their audiences, frame their results in ways that ar...", "author" : [ { "dropping-particle" : "", "family" : "Groffman", "given" : "Peter M", "non-dropping-particle" : "", "parse-names" : false, "suffix" : "" }, { "dropping-particle" : "", "family" : "Stylinski", "given" : "Cathlyn", "non-dropping-particle" : "", "parse-names" : false, "suffix" : "" }, { "dropping-particle" : "", "family" : "Nisbet", "given" : "Matthew C", "non-dropping-particle" : "", "parse-names" : false, "suffix" : "" }, { "dropping-particle" : "", "family" : "Duarte", "given" : "Carlos M", "non-dropping-particle" : "", "parse-names" : false, "suffix" : "" }, { "dropping-particle" : "", "family" : "Jordan", "given" : "Rebecca", "non-dropping-particle" : "", "parse-names" : false, "suffix" : "" }, { "dropping-particle" : "", "family" : "Burgin", "given" : "Amy", "non-dropping-particle" : "", "parse-names" : false, "suffix" : "" }, { "dropping-particle" : "", "family" : "Previtali", "given" : "M Andrea", "non-dropping-particle" : "", "parse-names" : false, "suffix" : "" }, { "dropping-particle" : "", "family" : "Coloso", "given" : "James", "non-dropping-particle" : "", "parse-names" : false, "suffix" : "" } ], "container-title" : "Frontiers in Ecology and the Environment", "id" : "ITEM-1", "issue" : "6", "issued" : { "date-parts" : [ [ "2010", "8", "1" ] ] }, "language" : "EN", "page" : "284-291", "publisher" : "Ecological Society of America", "title" : "Restarting the conversation: challenges at the interface between ecology and society", "type" : "article-journal", "volume" : "8" }, "uris" : [ "http://www.mendeley.com/documents/?uuid=6fd710dd-889a-410f-9902-a757b32ac755" ] } ], "mendeley" : { "formattedCitation" : "(Groffman et al 2010)", "plainTextFormattedCitation" : "(Groffman et al 2010)", "previouslyFormattedCitation" : "(Groffman et al 2010)" }, "properties" : { "noteIndex" : 0 }, "schema" : "https://github.com/citation-style-language/schema/raw/master/csl-citation.json" }</w:instrText>
      </w:r>
      <w:r>
        <w:rPr>
          <w:rFonts w:cs="Arial"/>
          <w:sz w:val="20"/>
        </w:rPr>
        <w:fldChar w:fldCharType="separate"/>
      </w:r>
      <w:r w:rsidRPr="00A52A47">
        <w:rPr>
          <w:rFonts w:cs="Arial"/>
          <w:noProof/>
          <w:sz w:val="20"/>
        </w:rPr>
        <w:t>(Groffman et al 2010)</w:t>
      </w:r>
      <w:r>
        <w:rPr>
          <w:rFonts w:cs="Arial"/>
          <w:sz w:val="20"/>
        </w:rPr>
        <w:fldChar w:fldCharType="end"/>
      </w:r>
      <w:r>
        <w:rPr>
          <w:rFonts w:cs="Arial"/>
          <w:sz w:val="20"/>
        </w:rPr>
        <w:t xml:space="preserve">. </w:t>
      </w:r>
      <w:r>
        <w:rPr>
          <w:rFonts w:cs="Arial"/>
          <w:sz w:val="20"/>
        </w:rPr>
        <w:lastRenderedPageBreak/>
        <w:t xml:space="preserve">The results from this paper suggest that insight into how people interact with and perceive ecosystems is important to understand what aspects of ecosystem conservation and/or restoration people place most emphasis on. The perspectives we identified provide guidance for targeted information that can be used by local environmental organizations to reach a diverse set of stakeholders. </w:t>
      </w:r>
      <w:r w:rsidRPr="00120C0A">
        <w:rPr>
          <w:rFonts w:cs="Arial"/>
          <w:sz w:val="20"/>
        </w:rPr>
        <w:t xml:space="preserve"> </w:t>
      </w:r>
    </w:p>
    <w:p w:rsidR="003F789A" w:rsidRDefault="003F789A" w:rsidP="00E55058">
      <w:pPr>
        <w:tabs>
          <w:tab w:val="left" w:pos="880"/>
        </w:tabs>
        <w:spacing w:after="0" w:line="360" w:lineRule="auto"/>
        <w:rPr>
          <w:rFonts w:cs="Arial"/>
          <w:sz w:val="20"/>
        </w:rPr>
      </w:pPr>
    </w:p>
    <w:p w:rsidR="003F789A" w:rsidRDefault="003F789A" w:rsidP="00E55058">
      <w:pPr>
        <w:tabs>
          <w:tab w:val="left" w:pos="880"/>
        </w:tabs>
        <w:spacing w:after="0" w:line="360" w:lineRule="auto"/>
        <w:rPr>
          <w:rFonts w:cs="Arial"/>
          <w:sz w:val="20"/>
        </w:rPr>
      </w:pPr>
      <w:r>
        <w:rPr>
          <w:rFonts w:cs="Arial"/>
          <w:sz w:val="20"/>
        </w:rPr>
        <w:t xml:space="preserve">In addition, careful thought should be put into crafting opportunities to engage with local users about wetland restoration </w:t>
      </w:r>
      <w:r>
        <w:rPr>
          <w:rFonts w:cs="Arial"/>
          <w:sz w:val="20"/>
        </w:rPr>
        <w:fldChar w:fldCharType="begin" w:fldLock="1"/>
      </w:r>
      <w:r>
        <w:rPr>
          <w:rFonts w:cs="Arial"/>
          <w:sz w:val="20"/>
        </w:rPr>
        <w:instrText>ADDIN CSL_CITATION { "citationItems" : [ { "id" : "ITEM-1", "itemData" : { "DOI" : "10.1093/biosci/biu021", "ISSN" : "0006-3568", "abstract" : "Most scientists agree that interacting with the public is a worthwhile endeavor, but participation in science outreach remains fairly low among biologists. Furthermore, current practices in science outreach remain largely based on ineffective communication models that may undermine public trust and interest. I argue that, in trying to improve both participation rates and the effectiveness of science outreach, we must take a more scientific approach, and we must practice outreach with the same rigor as the science that we share with the public. Here, I describe common misconceptions that can undermine the value of science communication with the public at many scales. I then describe an evidence-based, iterative, evaluative framework for biologists at all career stages to pursue public engagement in the biological sciences. These guidelines can also inform formal outreach training for scientists, specifically in promoting dialogue and engagement.", "author" : [ { "dropping-particle" : "", "family" : "Varner", "given" : "Johanna", "non-dropping-particle" : "", "parse-names" : false, "suffix" : "" } ], "container-title" : "BioScience", "id" : "ITEM-1", "issue" : "4", "issued" : { "date-parts" : [ [ "2014" ] ] }, "page" : "333-340", "title" : "Scientific Outreach: Toward Effective Public Engagement with Biological Science", "type" : "article-journal", "volume" : "64" }, "uris" : [ "http://www.mendeley.com/documents/?uuid=51ff3a1c-9eb5-4505-ae71-d6a2245f0b02" ] } ], "mendeley" : { "formattedCitation" : "(Varner 2014)", "plainTextFormattedCitation" : "(Varner 2014)", "previouslyFormattedCitation" : "(Varner 2014)" }, "properties" : { "noteIndex" : 0 }, "schema" : "https://github.com/citation-style-language/schema/raw/master/csl-citation.json" }</w:instrText>
      </w:r>
      <w:r>
        <w:rPr>
          <w:rFonts w:cs="Arial"/>
          <w:sz w:val="20"/>
        </w:rPr>
        <w:fldChar w:fldCharType="separate"/>
      </w:r>
      <w:r w:rsidRPr="00A60E5A">
        <w:rPr>
          <w:rFonts w:cs="Arial"/>
          <w:noProof/>
          <w:sz w:val="20"/>
        </w:rPr>
        <w:t>(Varner 2014)</w:t>
      </w:r>
      <w:r>
        <w:rPr>
          <w:rFonts w:cs="Arial"/>
          <w:sz w:val="20"/>
        </w:rPr>
        <w:fldChar w:fldCharType="end"/>
      </w:r>
      <w:r>
        <w:rPr>
          <w:rFonts w:cs="Arial"/>
          <w:sz w:val="20"/>
        </w:rPr>
        <w:t xml:space="preserve">. People do not learn about science through formal education but through informal sources </w:t>
      </w:r>
      <w:r>
        <w:rPr>
          <w:rFonts w:cs="Arial"/>
          <w:sz w:val="20"/>
        </w:rPr>
        <w:fldChar w:fldCharType="begin" w:fldLock="1"/>
      </w:r>
      <w:r>
        <w:rPr>
          <w:rFonts w:cs="Arial"/>
          <w:sz w:val="20"/>
        </w:rPr>
        <w:instrText>ADDIN CSL_CITATION { "citationItems" : [ { "id" : "ITEM-1", "itemData" : { "DOI" : "10.1890/090160", "ISSN" : "1540-9295", "abstract" : "The exchange of information between researchers, resource managers, decision makers, and the general public has long been recognized as a critical need in environmental science. We examine the challenges in using ecological knowledge to inform society and to change societal actions, and identify a set of options and strategies to enhance this exchange. Our objectives are to provide background information on societal knowledge and interest in science and environmental issues, to describe how different components of society obtain information and develop their interests and values, and to present a framework for evaluating and improving communication between science and society. Our analysis strongly suggests that the interface between science and society can only be improved with renewed dedication to public outreach and a wholesale reconsideration of the way that scientists communicate with society. Ecologists need to adopt new models of engagement with their audiences, frame their results in ways that ar...", "author" : [ { "dropping-particle" : "", "family" : "Groffman", "given" : "Peter M", "non-dropping-particle" : "", "parse-names" : false, "suffix" : "" }, { "dropping-particle" : "", "family" : "Stylinski", "given" : "Cathlyn", "non-dropping-particle" : "", "parse-names" : false, "suffix" : "" }, { "dropping-particle" : "", "family" : "Nisbet", "given" : "Matthew C", "non-dropping-particle" : "", "parse-names" : false, "suffix" : "" }, { "dropping-particle" : "", "family" : "Duarte", "given" : "Carlos M", "non-dropping-particle" : "", "parse-names" : false, "suffix" : "" }, { "dropping-particle" : "", "family" : "Jordan", "given" : "Rebecca", "non-dropping-particle" : "", "parse-names" : false, "suffix" : "" }, { "dropping-particle" : "", "family" : "Burgin", "given" : "Amy", "non-dropping-particle" : "", "parse-names" : false, "suffix" : "" }, { "dropping-particle" : "", "family" : "Previtali", "given" : "M Andrea", "non-dropping-particle" : "", "parse-names" : false, "suffix" : "" }, { "dropping-particle" : "", "family" : "Coloso", "given" : "James", "non-dropping-particle" : "", "parse-names" : false, "suffix" : "" } ], "container-title" : "Frontiers in Ecology and the Environment", "id" : "ITEM-1", "issue" : "6", "issued" : { "date-parts" : [ [ "2010", "8", "1" ] ] }, "language" : "EN", "page" : "284-291", "publisher" : "Ecological Society of America", "title" : "Restarting the conversation: challenges at the interface between ecology and society", "type" : "article-journal", "volume" : "8" }, "uris" : [ "http://www.mendeley.com/documents/?uuid=6fd710dd-889a-410f-9902-a757b32ac755" ] } ], "mendeley" : { "formattedCitation" : "(Groffman et al 2010)", "plainTextFormattedCitation" : "(Groffman et al 2010)", "previouslyFormattedCitation" : "(Groffman et al 2010)" }, "properties" : { "noteIndex" : 0 }, "schema" : "https://github.com/citation-style-language/schema/raw/master/csl-citation.json" }</w:instrText>
      </w:r>
      <w:r>
        <w:rPr>
          <w:rFonts w:cs="Arial"/>
          <w:sz w:val="20"/>
        </w:rPr>
        <w:fldChar w:fldCharType="separate"/>
      </w:r>
      <w:r w:rsidRPr="00A52A47">
        <w:rPr>
          <w:rFonts w:cs="Arial"/>
          <w:noProof/>
          <w:sz w:val="20"/>
        </w:rPr>
        <w:t>(Groffman et al 2010)</w:t>
      </w:r>
      <w:r>
        <w:rPr>
          <w:rFonts w:cs="Arial"/>
          <w:sz w:val="20"/>
        </w:rPr>
        <w:fldChar w:fldCharType="end"/>
      </w:r>
      <w:r>
        <w:rPr>
          <w:rFonts w:cs="Arial"/>
          <w:sz w:val="20"/>
        </w:rPr>
        <w:t xml:space="preserve">. When forming ideas and attitudes about ecological restoration, people may not rely on logical arguments and reasoning, but on knowledge they draw from experiences, e.g. of nature, talking with others, and/or emotions </w:t>
      </w:r>
      <w:r>
        <w:rPr>
          <w:rFonts w:cs="Arial"/>
          <w:sz w:val="20"/>
        </w:rPr>
        <w:fldChar w:fldCharType="begin" w:fldLock="1"/>
      </w:r>
      <w:r>
        <w:rPr>
          <w:rFonts w:cs="Arial"/>
          <w:sz w:val="20"/>
        </w:rPr>
        <w:instrText>ADDIN CSL_CITATION { "citationItems" : [ { "id" : "ITEM-1", "itemData" : { "DOI" : "10.1080/13504620500169809", "ISSN" : "1350-4622", "abstract" : "segueix l'evoluci\u00f3 d'una teoria de l'aprenentatge en la natura per tal d'explicar com les persones aprenen en llocs naturals. Descriu sint\u00e8cticament les arrels intel\u00b7lectuals de la teoria en l'aprenentatge informal, la cognici\u00f3, el desenvolupament afectiu, l'aprenentatge experiencial i significatiu.", "author" : [ { "dropping-particle" : "", "family" : "Brody", "given" : "Michael", "non-dropping-particle" : "", "parse-names" : false, "suffix" : "" } ], "container-title" : "Environmental Education Research", "id" : "ITEM-1", "issue" : "5", "issued" : { "date-parts" : [ [ "2005" ] ] }, "page" : "603-621", "title" : "Learning in nature", "type" : "article-journal", "volume" : "11" }, "uris" : [ "http://www.mendeley.com/documents/?uuid=f0db0b31-90a4-47c7-8147-641b96c3666a" ] }, { "id" : "ITEM-2", "itemData" : { "DOI" : "10.1017/S037689291200029X", "ISSN" : "0376-8929", "author" : [ { "dropping-particle" : "", "family" : "Fazey", "given" : "Ioan", "non-dropping-particle" : "", "parse-names" : false, "suffix" : "" }, { "dropping-particle" : "", "family" : "Evely", "given" : "Anna C.", "non-dropping-particle" : "", "parse-names" : false, "suffix" : "" }, { "dropping-particle" : "", "family" : "Reed", "given" : "Mark S.", "non-dropping-particle" : "", "parse-names" : false, "suffix" : "" }, { "dropping-particle" : "", "family" : "Stringer", "given" : "LIindsay C.", "non-dropping-particle" : "", "parse-names" : false, "suffix" : "" }, { "dropping-particle" : "", "family" : "Kruijsen", "given" : "Joanneke", "non-dropping-particle" : "", "parse-names" : false, "suffix" : "" }, { "dropping-particle" : "", "family" : "White", "given" : "Piran C. L.", "non-dropping-particle" : "", "parse-names" : false, "suffix" : "" }, { "dropping-particle" : "", "family" : "Newsham", "given" : "Andrew", "non-dropping-particle" : "", "parse-names" : false, "suffix" : "" }, { "dropping-particle" : "", "family" : "Jin", "given" : "Lixian", "non-dropping-particle" : "", "parse-names" : false, "suffix" : "" }, { "dropping-particle" : "", "family" : "Cortazzi", "given" : "Martin", "non-dropping-particle" : "", "parse-names" : false, "suffix" : "" }, { "dropping-particle" : "", "family" : "Philipson", "given" : "Jeremy", "non-dropping-particle" : "", "parse-names" : false, "suffix" : "" }, { "dropping-particle" : "", "family" : "Blackstock", "given" : "Kirsty", "non-dropping-particle" : "", "parse-names" : false, "suffix" : "" }, { "dropping-particle" : "", "family" : "Entwhistle", "given" : "Noel", "non-dropping-particle" : "", "parse-names" : false, "suffix" : "" }, { "dropping-particle" : "", "family" : "Sheate", "given" : "William", "non-dropping-particle" : "", "parse-names" : false, "suffix" : "" }, { "dropping-particle" : "", "family" : "Armstrong", "given" : "Fiona", "non-dropping-particle" : "", "parse-names" : false, "suffix" : "" }, { "dropping-particle" : "", "family" : "Blackmore", "given" : "Chris", "non-dropping-particle" : "", "parse-names" : false, "suffix" : "" }, { "dropping-particle" : "", "family" : "Fazey", "given" : "John", "non-dropping-particle" : "", "parse-names" : false, "suffix" : "" }, { "dropping-particle" : "", "family" : "Ingram", "given" : "Julie", "non-dropping-particle" : "", "parse-names" : false, "suffix" : "" }, { "dropping-particle" : "", "family" : "Gregson", "given" : "Jon", "non-dropping-particle" : "", "parse-names" : false, "suffix" : "" }, { "dropping-particle" : "", "family" : "Lower", "given" : "Philip", "non-dropping-particle" : "", "parse-names" : false, "suffix" : "" }, { "dropping-particle" : "", "family" : "Morton", "given" : "Sarah", "non-dropping-particle" : "", "parse-names" : false, "suffix" : "" }, { "dropping-particle" : "", "family" : "Trevitt", "given" : "Chris", "non-dropping-particle" : "", "parse-names" : false, "suffix" : "" } ], "container-title" : "Environmental Conservation", "id" : "ITEM-2", "issue" : "01", "issued" : { "date-parts" : [ [ "2013" ] ] }, "page" : "19-36", "title" : "Knowledge exchange: a review and research agenda for environmental management", "type" : "article-journal", "volume" : "40" }, "uris" : [ "http://www.mendeley.com/documents/?uuid=de197ebf-058d-4b6c-ae8f-708129025f46" ] } ], "mendeley" : { "formattedCitation" : "(Brody 2005; Fazey et al 2013)", "manualFormatting" : "(Brody 2005; Fazey et al 2013)", "plainTextFormattedCitation" : "(Brody 2005; Fazey et al 2013)", "previouslyFormattedCitation" : "(Brody 2005; Fazey et al 2013)" }, "properties" : { "noteIndex" : 0 }, "schema" : "https://github.com/citation-style-language/schema/raw/master/csl-citation.json" }</w:instrText>
      </w:r>
      <w:r>
        <w:rPr>
          <w:rFonts w:cs="Arial"/>
          <w:sz w:val="20"/>
        </w:rPr>
        <w:fldChar w:fldCharType="separate"/>
      </w:r>
      <w:r w:rsidRPr="00A60E5A">
        <w:rPr>
          <w:rFonts w:cs="Arial"/>
          <w:noProof/>
          <w:sz w:val="20"/>
        </w:rPr>
        <w:t>(Brody 2005; F</w:t>
      </w:r>
      <w:r>
        <w:rPr>
          <w:rFonts w:cs="Arial"/>
          <w:noProof/>
          <w:sz w:val="20"/>
        </w:rPr>
        <w:t xml:space="preserve">azey </w:t>
      </w:r>
      <w:r w:rsidRPr="00A60E5A">
        <w:rPr>
          <w:rFonts w:cs="Arial"/>
          <w:noProof/>
          <w:sz w:val="20"/>
        </w:rPr>
        <w:t>et al 2013)</w:t>
      </w:r>
      <w:r>
        <w:rPr>
          <w:rFonts w:cs="Arial"/>
          <w:sz w:val="20"/>
        </w:rPr>
        <w:fldChar w:fldCharType="end"/>
      </w:r>
      <w:r>
        <w:rPr>
          <w:rFonts w:cs="Arial"/>
          <w:sz w:val="20"/>
        </w:rPr>
        <w:t xml:space="preserve">. Having local stakeholders actively participate in ecological restoration efforts, for example by assisting in environmental monitoring, may positively affect the way local users think about ecological restoration </w:t>
      </w:r>
      <w:r>
        <w:rPr>
          <w:rFonts w:cs="Arial"/>
          <w:sz w:val="20"/>
        </w:rPr>
        <w:fldChar w:fldCharType="begin" w:fldLock="1"/>
      </w:r>
      <w:r>
        <w:rPr>
          <w:rFonts w:cs="Arial"/>
          <w:sz w:val="20"/>
        </w:rPr>
        <w:instrText>ADDIN CSL_CITATION { "citationItems" : [ { "id" : "ITEM-1", "itemData" : { "DOI" : "10.1007/s10661-010-1582-5", "ISBN" : "0167-6369", "ISSN" : "01676369", "PMID" : "20640506", "abstract" : "Worldwide, decision-makers and nongovernment organizations are increasing their use of citizen volunteers to enhance their ability to monitor and manage natural resources, track species at risk, and conserve protected areas. We reviewed the last 10 years of relevant citizen science literature for areas of consensus, divergence, and knowledge gaps. Different community-based monitoring (CBM) activities and governance structures were examined and contrasted. Literature was examined for evidence of common benefits, challenges, and recommendations for successful citizen science. Two major gaps were identified: (1) a need to compare and contrast the success (and the situations that induce success) of CBM programs which present sound evidence of citizen scientists influencing positive environmental changes in the local ecosystems they monitor and (2) more case studies showing use of CBM data by decision-makers or the barriers to linkages and how these might be overcome. If new research focuses on these gaps, and on the differences of opinions that exist, we will have a much better understanding of the social, economic, and ecological benefits of citizen science.", "author" : [ { "dropping-particle" : "", "family" : "Conrad", "given" : "Cathy C.", "non-dropping-particle" : "", "parse-names" : false, "suffix" : "" }, { "dropping-particle" : "", "family" : "Hilchey", "given" : "Krista G.", "non-dropping-particle" : "", "parse-names" : false, "suffix" : "" } ], "container-title" : "Environmental Monitoring and Assessment", "id" : "ITEM-1", "issued" : { "date-parts" : [ [ "2011" ] ] }, "page" : "273-291", "title" : "A review of citizen science and community-based environmental monitoring: Issues and opportunities", "type" : "article-journal", "volume" : "176" }, "uris" : [ "http://www.mendeley.com/documents/?uuid=78eb49e2-49a6-45de-b95f-29faae43c8d7" ] } ], "mendeley" : { "formattedCitation" : "(Conrad and Hilchey 2011)", "plainTextFormattedCitation" : "(Conrad and Hilchey 2011)", "previouslyFormattedCitation" : "(Conrad and Hilchey 2011)" }, "properties" : { "noteIndex" : 0 }, "schema" : "https://github.com/citation-style-language/schema/raw/master/csl-citation.json" }</w:instrText>
      </w:r>
      <w:r>
        <w:rPr>
          <w:rFonts w:cs="Arial"/>
          <w:sz w:val="20"/>
        </w:rPr>
        <w:fldChar w:fldCharType="separate"/>
      </w:r>
      <w:r w:rsidRPr="00A60E5A">
        <w:rPr>
          <w:rFonts w:cs="Arial"/>
          <w:noProof/>
          <w:sz w:val="20"/>
        </w:rPr>
        <w:t>(Conrad and Hilchey 2011)</w:t>
      </w:r>
      <w:r>
        <w:rPr>
          <w:rFonts w:cs="Arial"/>
          <w:sz w:val="20"/>
        </w:rPr>
        <w:fldChar w:fldCharType="end"/>
      </w:r>
      <w:r>
        <w:rPr>
          <w:rFonts w:cs="Arial"/>
          <w:sz w:val="20"/>
        </w:rPr>
        <w:t xml:space="preserve">. In addition, scientists should make use of informal and non-scientific events to exchange ideas about the benefits and costs of ecological restoration with the public </w:t>
      </w:r>
      <w:r>
        <w:rPr>
          <w:rFonts w:cs="Arial"/>
          <w:sz w:val="20"/>
        </w:rPr>
        <w:fldChar w:fldCharType="begin" w:fldLock="1"/>
      </w:r>
      <w:r>
        <w:rPr>
          <w:rFonts w:cs="Arial"/>
          <w:sz w:val="20"/>
        </w:rPr>
        <w:instrText>ADDIN CSL_CITATION { "citationItems" : [ { "id" : "ITEM-1", "itemData" : { "DOI" : "10.1016/j.tree.2013.12.008", "ISBN" : "0169-5347", "ISSN" : "1872-8383", "PMID" : "24388288", "abstract" : "Public engagement is widely recognized as a key priority for achieving societal support for research. We spotlight creativity in public engagement as a way of reaching wider audiences and incentivising researcher involvement, demonstrating some of the possibilities with a recent initiative to engage the public with ecology at music festivals.", "author" : [ { "dropping-particle" : "", "family" : "Sayer", "given" : "Emma J", "non-dropping-particle" : "", "parse-names" : false, "suffix" : "" }, { "dropping-particle" : "", "family" : "Featherstone", "given" : "Helen C", "non-dropping-particle" : "", "parse-names" : false, "suffix" : "" }, { "dropping-particle" : "", "family" : "Gosling", "given" : "William D", "non-dropping-particle" : "", "parse-names" : false, "suffix" : "" } ], "container-title" : "Trends in ecology &amp; evolution", "id" : "ITEM-1", "issue" : "2", "issued" : { "date-parts" : [ [ "2014" ] ] }, "page" : "65-7", "publisher" : "Elsevier Ltd", "title" : "Sex &amp; Bugs &amp; Rock 'n Roll--getting creative about public engagement.", "type" : "article-journal", "volume" : "29" }, "uris" : [ "http://www.mendeley.com/documents/?uuid=f77ee781-dfa1-48be-89eb-743e40111a49" ] } ], "mendeley" : { "formattedCitation" : "(Sayer et al 2014)", "plainTextFormattedCitation" : "(Sayer et al 2014)", "previouslyFormattedCitation" : "(Sayer et al 2014)" }, "properties" : { "noteIndex" : 0 }, "schema" : "https://github.com/citation-style-language/schema/raw/master/csl-citation.json" }</w:instrText>
      </w:r>
      <w:r>
        <w:rPr>
          <w:rFonts w:cs="Arial"/>
          <w:sz w:val="20"/>
        </w:rPr>
        <w:fldChar w:fldCharType="separate"/>
      </w:r>
      <w:r w:rsidRPr="00A60E5A">
        <w:rPr>
          <w:rFonts w:cs="Arial"/>
          <w:noProof/>
          <w:sz w:val="20"/>
        </w:rPr>
        <w:t>(Sayer et al 2014)</w:t>
      </w:r>
      <w:r>
        <w:rPr>
          <w:rFonts w:cs="Arial"/>
          <w:sz w:val="20"/>
        </w:rPr>
        <w:fldChar w:fldCharType="end"/>
      </w:r>
      <w:r>
        <w:rPr>
          <w:rFonts w:cs="Arial"/>
          <w:sz w:val="20"/>
        </w:rPr>
        <w:t xml:space="preserve">. By actively engaging with local users, scientists and environmental managers can foster support wetland  restoration and conservation </w:t>
      </w:r>
      <w:r>
        <w:rPr>
          <w:rFonts w:cs="Arial"/>
          <w:sz w:val="20"/>
        </w:rPr>
        <w:fldChar w:fldCharType="begin" w:fldLock="1"/>
      </w:r>
      <w:r>
        <w:rPr>
          <w:rFonts w:cs="Arial"/>
          <w:sz w:val="20"/>
        </w:rPr>
        <w:instrText>ADDIN CSL_CITATION { "citationItems" : [ { "id" : "ITEM-1", "itemData" : { "DOI" : "10.1111/jfb.12222", "ISBN" : "0022-1112", "ISSN" : "00221112", "PMID" : "24090559", "abstract" : "Generating awareness of environmental conservation issues among the public is essential if there is an expectation of them to alter their behaviour, facilitate informed decisions and engage governments or regulatory authorities to take action. There are, however, exceedingly few public engagement success stories related to inland fishes and fisheries policy and resource allocation decisions. Inland aquatic resources and their associated fisheries provide employment, recreation, culture and, in developing regions, a considerable proportion of human nutrition and food security. Freshwater fishes are incredibly diverse but are among the most endangered organisms globally. Many threats to inland fisheries are driven largely by externalities to inland fisheries. The purpose of this paper is to draw attention to the role and plight of inland fishes and fisheries, and the need to generate the public and political will necessary to promote meaningful conservation. With this paper, the extent to which the scientific and environmental management communities have failed to engage the public in issues related to inland fishes and fisheries is characterized. Next, the barriers or factors that serve as the basis for the problem with public engagement are identified. The paper concludes by identifying strategies, including those focused on environmental education initiatives, for building the public and political will necessary to promote meaningful conservation of inland fishes and fisheries in developed and developing countries. Scientists, environmental managers, non-governmental organizations, politicians, regulatory authorities and the media all have important roles to play in overcoming challenges to inland fisheries. Failure to engage the public in freshwater conservation and management issues will impede efforts to stem the loss of freshwater habitats, fisheries and aquatic biodiversity. Thankfully, there are opportunities to learn from success stories related to other environmental issues and initiatives that have been successful in marine fish conservation.", "author" : [ { "dropping-particle" : "", "family" : "Cooke", "given" : "S. J.", "non-dropping-particle" : "", "parse-names" : false, "suffix" : "" }, { "dropping-particle" : "", "family" : "Lapointe", "given" : "N. W R", "non-dropping-particle" : "", "parse-names" : false, "suffix" : "" }, { "dropping-particle" : "", "family" : "Martins", "given" : "E. G.", "non-dropping-particle" : "", "parse-names" : false, "suffix" : "" }, { "dropping-particle" : "", "family" : "Thiem", "given" : "J. D.", "non-dropping-particle" : "", "parse-names" : false, "suffix" : "" }, { "dropping-particle" : "", "family" : "Raby", "given" : "G. D.", "non-dropping-particle" : "", "parse-names" : false, "suffix" : "" }, { "dropping-particle" : "", "family" : "Taylor", "given" : "M. K.", "non-dropping-particle" : "", "parse-names" : false, "suffix" : "" }, { "dropping-particle" : "", "family" : "Beard", "given" : "T. D.", "non-dropping-particle" : "", "parse-names" : false, "suffix" : "" }, { "dropping-particle" : "", "family" : "Cowx", "given" : "I. G.", "non-dropping-particle" : "", "parse-names" : false, "suffix" : "" } ], "container-title" : "Journal of Fish Biology", "id" : "ITEM-1", "issue" : "4", "issued" : { "date-parts" : [ [ "2013" ] ] }, "page" : "997-1018", "title" : "Failure to engage the public in issues related to inland fishes and fisheries: Strategies for building public and political will to promote meaningful conservationa", "type" : "article-journal", "volume" : "83" }, "uris" : [ "http://www.mendeley.com/documents/?uuid=b44631fb-f351-4889-bf35-f30b1d81133c" ] } ], "mendeley" : { "formattedCitation" : "(Cooke et al 2013)", "plainTextFormattedCitation" : "(Cooke et al 2013)", "previouslyFormattedCitation" : "(Cooke et al 2013)" }, "properties" : { "noteIndex" : 0 }, "schema" : "https://github.com/citation-style-language/schema/raw/master/csl-citation.json" }</w:instrText>
      </w:r>
      <w:r>
        <w:rPr>
          <w:rFonts w:cs="Arial"/>
          <w:sz w:val="20"/>
        </w:rPr>
        <w:fldChar w:fldCharType="separate"/>
      </w:r>
      <w:r w:rsidRPr="008B2370">
        <w:rPr>
          <w:rFonts w:cs="Arial"/>
          <w:noProof/>
          <w:sz w:val="20"/>
        </w:rPr>
        <w:t>(Cooke et al 2013)</w:t>
      </w:r>
      <w:r>
        <w:rPr>
          <w:rFonts w:cs="Arial"/>
          <w:sz w:val="20"/>
        </w:rPr>
        <w:fldChar w:fldCharType="end"/>
      </w:r>
      <w:r>
        <w:rPr>
          <w:rFonts w:cs="Arial"/>
          <w:sz w:val="20"/>
        </w:rPr>
        <w:t xml:space="preserve">. </w:t>
      </w:r>
    </w:p>
    <w:p w:rsidR="003F789A" w:rsidRDefault="003F789A" w:rsidP="00E55058">
      <w:pPr>
        <w:tabs>
          <w:tab w:val="left" w:pos="880"/>
        </w:tabs>
        <w:spacing w:after="0" w:line="360" w:lineRule="auto"/>
        <w:rPr>
          <w:rFonts w:cs="Arial"/>
          <w:sz w:val="20"/>
        </w:rPr>
      </w:pPr>
    </w:p>
    <w:p w:rsidR="003F789A" w:rsidRDefault="003F789A" w:rsidP="0032165B">
      <w:pPr>
        <w:pStyle w:val="Heading3"/>
        <w:numPr>
          <w:ilvl w:val="2"/>
          <w:numId w:val="43"/>
        </w:numPr>
        <w:ind w:left="851" w:hanging="851"/>
      </w:pPr>
      <w:bookmarkStart w:id="157" w:name="_Toc436757164"/>
      <w:bookmarkStart w:id="158" w:name="_Toc436758103"/>
      <w:r>
        <w:t xml:space="preserve"> </w:t>
      </w:r>
      <w:bookmarkStart w:id="159" w:name="_Toc436915638"/>
      <w:bookmarkStart w:id="160" w:name="_Toc436916077"/>
      <w:r w:rsidRPr="00E55058">
        <w:t>Acknowledgements</w:t>
      </w:r>
      <w:bookmarkEnd w:id="157"/>
      <w:bookmarkEnd w:id="158"/>
      <w:bookmarkEnd w:id="159"/>
      <w:bookmarkEnd w:id="160"/>
    </w:p>
    <w:p w:rsidR="003F789A" w:rsidRPr="00E644DE" w:rsidRDefault="003F789A" w:rsidP="00E644DE"/>
    <w:p w:rsidR="003F789A" w:rsidRPr="00B75DA4" w:rsidRDefault="003F789A" w:rsidP="00E55058">
      <w:pPr>
        <w:tabs>
          <w:tab w:val="left" w:pos="880"/>
        </w:tabs>
        <w:spacing w:after="0" w:line="360" w:lineRule="auto"/>
        <w:rPr>
          <w:rFonts w:cs="Arial"/>
          <w:sz w:val="18"/>
          <w:szCs w:val="18"/>
        </w:rPr>
      </w:pPr>
      <w:r w:rsidRPr="00B75DA4">
        <w:rPr>
          <w:rFonts w:cs="Arial"/>
          <w:sz w:val="18"/>
          <w:szCs w:val="18"/>
        </w:rPr>
        <w:t xml:space="preserve">Emilia </w:t>
      </w:r>
      <w:proofErr w:type="spellStart"/>
      <w:r w:rsidRPr="00B75DA4">
        <w:rPr>
          <w:rFonts w:cs="Arial"/>
          <w:sz w:val="18"/>
          <w:szCs w:val="18"/>
        </w:rPr>
        <w:t>Petkova</w:t>
      </w:r>
      <w:proofErr w:type="spellEnd"/>
      <w:r w:rsidRPr="00B75DA4">
        <w:rPr>
          <w:rFonts w:cs="Arial"/>
          <w:sz w:val="18"/>
          <w:szCs w:val="18"/>
        </w:rPr>
        <w:t xml:space="preserve">, </w:t>
      </w:r>
      <w:proofErr w:type="spellStart"/>
      <w:r w:rsidRPr="00B75DA4">
        <w:rPr>
          <w:rFonts w:cs="Arial"/>
          <w:sz w:val="18"/>
          <w:szCs w:val="18"/>
        </w:rPr>
        <w:t>Vasilka</w:t>
      </w:r>
      <w:proofErr w:type="spellEnd"/>
      <w:r w:rsidRPr="00B75DA4">
        <w:rPr>
          <w:rFonts w:cs="Arial"/>
          <w:sz w:val="18"/>
          <w:szCs w:val="18"/>
        </w:rPr>
        <w:t xml:space="preserve"> </w:t>
      </w:r>
      <w:proofErr w:type="spellStart"/>
      <w:r w:rsidRPr="00B75DA4">
        <w:rPr>
          <w:rFonts w:cs="Arial"/>
          <w:sz w:val="18"/>
          <w:szCs w:val="18"/>
        </w:rPr>
        <w:t>Petrova</w:t>
      </w:r>
      <w:proofErr w:type="spellEnd"/>
      <w:r w:rsidRPr="00B75DA4">
        <w:rPr>
          <w:rFonts w:cs="Arial"/>
          <w:sz w:val="18"/>
          <w:szCs w:val="18"/>
        </w:rPr>
        <w:t xml:space="preserve">, Zlatko </w:t>
      </w:r>
      <w:proofErr w:type="spellStart"/>
      <w:r w:rsidRPr="00B75DA4">
        <w:rPr>
          <w:rFonts w:cs="Arial"/>
          <w:sz w:val="18"/>
          <w:szCs w:val="18"/>
        </w:rPr>
        <w:t>Kamenarov</w:t>
      </w:r>
      <w:proofErr w:type="spellEnd"/>
      <w:r w:rsidRPr="00B75DA4">
        <w:rPr>
          <w:rFonts w:cs="Arial"/>
          <w:sz w:val="18"/>
          <w:szCs w:val="18"/>
        </w:rPr>
        <w:t xml:space="preserve"> and </w:t>
      </w:r>
      <w:proofErr w:type="spellStart"/>
      <w:r w:rsidRPr="00B75DA4">
        <w:rPr>
          <w:rFonts w:cs="Arial"/>
          <w:sz w:val="18"/>
          <w:szCs w:val="18"/>
        </w:rPr>
        <w:t>Channa</w:t>
      </w:r>
      <w:proofErr w:type="spellEnd"/>
      <w:r w:rsidRPr="00B75DA4">
        <w:rPr>
          <w:rFonts w:cs="Arial"/>
          <w:sz w:val="18"/>
          <w:szCs w:val="18"/>
        </w:rPr>
        <w:t xml:space="preserve"> </w:t>
      </w:r>
      <w:proofErr w:type="spellStart"/>
      <w:r w:rsidRPr="00B75DA4">
        <w:rPr>
          <w:rFonts w:cs="Arial"/>
          <w:sz w:val="18"/>
          <w:szCs w:val="18"/>
        </w:rPr>
        <w:t>Lozeva</w:t>
      </w:r>
      <w:proofErr w:type="spellEnd"/>
      <w:r w:rsidRPr="00B75DA4">
        <w:rPr>
          <w:rFonts w:cs="Arial"/>
          <w:sz w:val="18"/>
          <w:szCs w:val="18"/>
        </w:rPr>
        <w:t xml:space="preserve"> for their assistance with the interviews. </w:t>
      </w:r>
    </w:p>
    <w:p w:rsidR="003F789A" w:rsidRDefault="003F789A" w:rsidP="00E644DE">
      <w:pPr>
        <w:rPr>
          <w:color w:val="008000"/>
          <w:sz w:val="32"/>
          <w:szCs w:val="36"/>
        </w:rPr>
      </w:pPr>
    </w:p>
    <w:p w:rsidR="003F789A" w:rsidRPr="006D566F" w:rsidRDefault="003F789A" w:rsidP="00E644DE">
      <w:pPr>
        <w:rPr>
          <w:color w:val="008000"/>
          <w:sz w:val="32"/>
          <w:szCs w:val="36"/>
        </w:rPr>
      </w:pPr>
      <w:r w:rsidRPr="006D566F">
        <w:rPr>
          <w:color w:val="008000"/>
          <w:sz w:val="32"/>
          <w:szCs w:val="36"/>
        </w:rPr>
        <w:t>References</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sz w:val="20"/>
        </w:rPr>
        <w:fldChar w:fldCharType="begin" w:fldLock="1"/>
      </w:r>
      <w:r w:rsidRPr="00B75DA4">
        <w:rPr>
          <w:rFonts w:cs="Arial"/>
          <w:sz w:val="20"/>
        </w:rPr>
        <w:instrText xml:space="preserve">ADDIN Mendeley Bibliography CSL_BIBLIOGRAPHY </w:instrText>
      </w:r>
      <w:r w:rsidRPr="00B75DA4">
        <w:rPr>
          <w:rFonts w:cs="Arial"/>
          <w:sz w:val="20"/>
        </w:rPr>
        <w:fldChar w:fldCharType="separate"/>
      </w:r>
      <w:r w:rsidRPr="00B75DA4">
        <w:rPr>
          <w:rFonts w:cs="Arial"/>
          <w:noProof/>
          <w:sz w:val="20"/>
        </w:rPr>
        <w:t>Adams VM, Pressey RL, Naidoo R (2010) Opportunity costs: Who really pays for conservation? Biological Conservation 143:439–448. doi: 10.1016/j.biocon.2009.11.011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Agbenyega O, Burgess PJ, Cook M, Morris J (2009) Application of an ecosystem function framework to perceptions of community woodlands. Land Use Policy 26:551–557. doi: 10.1016/j.landusepol.2008.08.011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Allendorf TD, Yang J (2013) The role of ecosystem services in park–people relationships: The case of Gaoligongshan Nature Reserve in southwest China. Biological Conservation 167:187–193. doi: 10.1016/j.biocon.2013.08.013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Arnberger A, Eder R (2011) Exploring the Heterogeneity of Rural Landscape Preferences: An Image-Based Latent Class Approach. Landscape Research 36:19–40. doi: 10.1080/01426397.2010.536204</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Asah ST, Guerry AD, Blahna DJ, Lawler JJ (2014) Perception, acquisition and use of ecosystem services: Human behavior, and ecosystem management and policy implications. Ecosystem Services. doi: 10.1016/j.ecoser.2014.08.003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Barroso FL, Pinto-Correia T, Ramos IL, et al (2012) Dealing with landscape fuzziness in user preference studies: Photo-based questionnaires in the Mediterranean context. Landscape and Urban Planning 104:329–342. </w:t>
      </w:r>
      <w:hyperlink r:id="rId34" w:tgtFrame="doilink" w:history="1">
        <w:r w:rsidRPr="00B75DA4">
          <w:rPr>
            <w:rStyle w:val="Hyperlink"/>
            <w:rFonts w:cs="Arial"/>
            <w:color w:val="auto"/>
            <w:sz w:val="20"/>
            <w:bdr w:val="none" w:sz="0" w:space="0" w:color="auto" w:frame="1"/>
            <w:shd w:val="clear" w:color="auto" w:fill="FFFFFF"/>
          </w:rPr>
          <w:t>doi:10.1016/j.landurbplan.2011.11.005</w:t>
        </w:r>
      </w:hyperlink>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Brockington D, Wilkie D (2015) Protected areas and poverty. Philosophical transactions of the Royal </w:t>
      </w:r>
      <w:r w:rsidRPr="00B75DA4">
        <w:rPr>
          <w:rFonts w:cs="Arial"/>
          <w:noProof/>
          <w:sz w:val="20"/>
        </w:rPr>
        <w:lastRenderedPageBreak/>
        <w:t>Society of London. Series B, Biological sciences 370. doi: 10.1098/rstb.2014.0271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Brody M (2005) Learning in nature. Environmental Education Research 11:603–621. doi: 10.1080/13504620500169809</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Castro  a. J, Martín-López B, García-LLorente M, et al (2011) Social preferences regarding the delivery of ecosystem services in a semiarid Mediterranean region. Journal of Arid Environments 75:1201–1208. doi: 10.1016/j.jaridenv.2011.05.013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Čížková H, Květ J, Comín FA, et al (2011) Actual state of European wetlands and their possible future in the context of global climate change. Aquatic Sciences 75:3–26. doi: 10.1007/s00027-011-0233-4</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Comberti C, Thornton TF, Wylliede Echeverria V, Patterson T (2015) Ecosystem services or services to ecosystems? Valuing cultivation and reciprocal relationships between humans and ecosystems. Global Environmental Change 34:247–262. doi: 10.1016/j.gloenvcha.2015.07.007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Conrad CC, Hilchey KG (2011) A review of citizen science and community-based environmental monitoring: Issues and opportunities. Environmental Monitoring and Assessment 176:273–291. doi: 10.1007/s10661-010-1582-5</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Cooke SJ, Lapointe NWR, Martins EG, et al (2013) Failure to engage the public in issues related to inland fishes and fisheries: Strategies for building public and political will to promote meaningful conservationa. Journal of Fish Biology 83:997–1018. doi: 10.1111/jfb.12222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Costanza R, d’Arge R, de Groot R, et al (1997) The value of the world’s ecosystem services and natural capital. Nature 387:253–260. doi: 10.1038/387253a0</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Daily GC (1997) Nature’s Services: Societal Dependence On Natural Ecosystems. Island Press Washington, DC, Washington DC</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Daw T, Brown K, Rosendo S, Pomeroy R (2011) Applying the ecosystem services concept to poverty alleviation: the need to disaggregate human well-being. Environmental Conservation 38:370–379. doi: 10.1017/S0376892911000506</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de Groot JIM, Steg L (2007) Value Orientations to Explain Beliefs Related to Environmental Significant Behavior: How to Measure Egoistic, Altruistic, and Biospheric Value Orientations. Environment and Behavior 40:330–354. doi: 10.1177/0013916506297831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de Groot R, Brander L, van der Ploeg S, et al (2012) Global estimates of the value of ecosystems and their services in monetary units. Ecosystem Services 1:50–61. doi: 10.1016/j.ecoser.2012.07.005</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de Groot R, Fisher B, Christie M, et al (2010) Integrating the ecological and economic dimensions in biodiversity and ecosystem service valuation. Econ. Ecosyst. Biodivers. Ecol. Econ. Found. </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de Groot RS, Wilson M a, Boumans RM. (2002) A typology for the classification, description and valuation of ecosystem functions, goods and services. Ecological Economics 41:393–408. doi: 10.1016/S0921-8009(02)00089-7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Dobbie M, Green R (2013) Public perceptions of freshwater wetlands in Victoria, Australia. Landscape and Urban Planning 110:143–154. doi: 10.1016/j.landurbplan.2012.11.003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Dramstad WE, Tveit MS, Fjellstad WJ, Fry GLA (2006) Relationships between visual landscape preferences and map-based indicators of landscape structure. Landscape and Urban Planning 78:465–474. doi: 10.1016/j.landurbplan.2005.12.006</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Ebert S, Hulea O, Strobel D (2009) Floodplain restoration along the lower Danube: A climate change adaptation case study. Climate and Development 1:212–219. doi: 10.3763/cdev.2009.0022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Fazey I, Evely AC, Reed MS, et al (2013) Knowledge exchange: a review and research agenda for environmental management. Environmental Conservation 40:19–36. doi: 10.1017/S037689291200029X</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Fulton DC, Manfredo MJ, Lipscomb J (1996) Wildlife value orientations: A conceptual and </w:t>
      </w:r>
      <w:r w:rsidRPr="00B75DA4">
        <w:rPr>
          <w:rFonts w:cs="Arial"/>
          <w:noProof/>
          <w:sz w:val="20"/>
        </w:rPr>
        <w:lastRenderedPageBreak/>
        <w:t>measurement approach. Human Dimensions of Wildlife 1:24–47. doi: 10.1080/10871209609359060</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Grêt-Regamey A, Celio E, Klein TM, Wissen Hayek U (2013) Understanding ecosystem services trade-offs with interactive procedural modeling for sustainable urban planning. Landscape and Urban Planning 109:107–116. doi: 10.1016/j.landurbplan.2012.10.011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Groffman PM, Stylinski C, Nisbet MC, et al (2010) Restarting the conversation: challenges at the interface between ecology and society. Frontiers in Ecology and the Environment 8:284–291. doi: 10.1890/090160</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Gumiero B, Mant J, Hein T, et al (2013) Linking the restoration of rivers and riparian zones/wetlands in Europe: Sharing knowledge through case studies. Ecological Engineering 56:36–50. </w:t>
      </w:r>
      <w:hyperlink r:id="rId35" w:tgtFrame="doilink" w:history="1">
        <w:r w:rsidRPr="00B75DA4">
          <w:rPr>
            <w:rStyle w:val="Hyperlink"/>
            <w:rFonts w:cs="Arial"/>
            <w:color w:val="auto"/>
            <w:sz w:val="20"/>
            <w:bdr w:val="none" w:sz="0" w:space="0" w:color="auto" w:frame="1"/>
            <w:shd w:val="clear" w:color="auto" w:fill="FFFFFF"/>
          </w:rPr>
          <w:t>doi:10.1016/j.ecoleng.2012.12.103</w:t>
        </w:r>
      </w:hyperlink>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Haines-Young RH, Potschin MB (2010) The links between biodiversity , ecosystem services and human well-being. Ecosyst. Ecol. a new Synth. </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Hartter J (2010) Resource Use and Ecosystem Services in a Forest Park Landscape. Society &amp; Natural Resources 23:207–223. doi: 10.1080/08941920903360372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Hulea O, Ebert S, Strobel D (2009) Floodplain restoration along the Lower Danube: A climate change adaptation case study. IOP Conference Series: Earth and Environmental Science 6:402002. doi: 10.1088/1755-1307/6/40/402002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Jax K, Barton DN, Chan KMA, et al (2013) Ecosystem services and ethics. Ecological Economics 93:260–268. doi: 10.1016/j.ecolecon.2013.06.008</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Johansson M (2005) Local people’s motives for biodiversity conservation. Hogrefe &amp; Huber Publishers</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Junk WJ, An S, Finlayson CM, et al (2012) Current state of knowledge regarding the world’s wetlands and their future under global climate change: a synthesis. Aquatic Sciences 75:151–167. doi: 10.1007/s00027-012-0278-z</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Kaltenborn BP, Bjerke T (2002) Associations between environmental value orientations and landscape preferences. Landscape and Urban Planning 59:1–11. doi: 10.1016/S0169-2046(01)00243-2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Kari S, Korhonen-Kurki K (2013) Framing local outcomes of biodiversity conservation through ecosystem services: A case study from Ranomafana, Madagascar. Ecosystem Services 3:e32–e39. doi: http://dx.doi.org/10.1016/j.ecoser.2012.12.003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Kohsaka R, Flitner M (2004) Exploring forest aesthetics using forestry photo contests: case studies examining Japanese and German public preferences. Forest Policy and Economics 6:289–299. doi: http://dx.doi.org/10.1016/j.forpol.2004.03.016</w:t>
      </w:r>
    </w:p>
    <w:p w:rsidR="003F789A" w:rsidRPr="00B75DA4" w:rsidRDefault="003F789A" w:rsidP="00DE0DB5">
      <w:pPr>
        <w:tabs>
          <w:tab w:val="left" w:pos="880"/>
        </w:tabs>
        <w:spacing w:line="240" w:lineRule="auto"/>
        <w:jc w:val="left"/>
        <w:rPr>
          <w:rFonts w:ascii="Verdana" w:hAnsi="Verdana"/>
          <w:color w:val="000000"/>
          <w:sz w:val="20"/>
          <w:lang w:eastAsia="nl-NL"/>
        </w:rPr>
      </w:pPr>
      <w:r w:rsidRPr="00B75DA4">
        <w:rPr>
          <w:rFonts w:cs="Arial"/>
          <w:noProof/>
          <w:sz w:val="20"/>
        </w:rPr>
        <w:t>Kollmuss A, Agyeman J (2002) Mind the Gap : Why do people act environmentally and what are the barriers to pro- environmental behavior ? Environmental Education Research 8: 37–41. http://dx.doi.org/</w:t>
      </w:r>
      <w:r w:rsidRPr="00B75DA4">
        <w:rPr>
          <w:rFonts w:cs="Arial"/>
          <w:color w:val="000000"/>
          <w:sz w:val="20"/>
          <w:lang w:eastAsia="nl-NL"/>
        </w:rPr>
        <w:t>10.1080/13504620220145401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Lange E, Hehl-Lange S, Brewer MJ (2008) Scenario-visualization for the assessment of perceived green space qualities at the urban-rural fringe. Journal of environmental management 89:245–56. doi: 10.1016/j.jenvman.2007.01.061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Lindemann-Matthies P, Junge X, Matthies D (2010) The influence of plant diversity on people’s perception and aesthetic appreciation of grassland vegetation. Biological Conservation 143:195–202. doi: http://dx.doi.org/10.1016/j.biocon.2009.10.003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Luck GW, Chan KMA, Eser U, et al (2012) Ethical Considerations in On-Ground Applications of the Ecosystem Services Concept. BioScience 62:1020–1029. doi: 10.1525/bio.2012.62.12.4</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MA (Millenium Ecosystem Assessment) (2005) Ecosystems and Human Well-Being - Synthesis. </w:t>
      </w:r>
      <w:r w:rsidRPr="00B75DA4">
        <w:rPr>
          <w:rFonts w:cs="Arial"/>
          <w:noProof/>
          <w:sz w:val="20"/>
        </w:rPr>
        <w:lastRenderedPageBreak/>
        <w:t>Island Press, Washington DC</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McCauley DJ (2006) Selling out on nature. Nature 443:27–8. doi: 10.1038/443027a</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McShane TO, Hirsch PD, Trung TC, et al (2011) Hard choices: Making trade-offs between biodiversity conservation and human well-being. Biological Conservation 144:966–972. doi: 10.1016/j.biocon.2010.04.038</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Meindl CF (2000) Past Perception of the Great American Wetland: Florida’s Everglades during the Early Twentieth Century. Environmental History 5:378–395. </w:t>
      </w:r>
      <w:r w:rsidRPr="00B75DA4">
        <w:rPr>
          <w:rFonts w:cs="Arial"/>
          <w:color w:val="333300"/>
          <w:sz w:val="20"/>
          <w:shd w:val="clear" w:color="auto" w:fill="FFFFFF"/>
        </w:rPr>
        <w:t>doi:</w:t>
      </w:r>
      <w:r w:rsidRPr="00B75DA4">
        <w:rPr>
          <w:rStyle w:val="apple-converted-space"/>
          <w:rFonts w:cs="Arial"/>
          <w:color w:val="333300"/>
          <w:sz w:val="20"/>
          <w:shd w:val="clear" w:color="auto" w:fill="FFFFFF"/>
        </w:rPr>
        <w:t> </w:t>
      </w:r>
      <w:r w:rsidRPr="00B75DA4">
        <w:rPr>
          <w:rStyle w:val="slug-doi"/>
          <w:rFonts w:cs="Arial"/>
          <w:color w:val="333300"/>
          <w:sz w:val="20"/>
          <w:bdr w:val="none" w:sz="0" w:space="0" w:color="auto" w:frame="1"/>
          <w:shd w:val="clear" w:color="auto" w:fill="FFFFFF"/>
        </w:rPr>
        <w:t>10.2307/3985482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Minteer BA, Miller TR (2011) The New Conservation Debate: Ethical foundations, strategic trade-offs, and policy opportunities. Biological Conservation 144:945–947. doi: 10.1016/j.biocon.2010.07.027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Nassauer JI (2004) Monitoring the success of metropolitan wetland restorations: Cultural sustainability and ecological function. Wetlands 24:756–765. doi: 10.1672/0277-5212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Naughton-Treves L, Holland MB, Brandon K (2005) the Role of Protected Areas in Conserving Biodiversity and Sustaining Local Livelihoods. Annual Review of Environment and Resources 30:219–252. doi: 10.1146/annurev.energy.30.050504.164507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Norgaard RB (2010) Ecosystem services: From eye-opening metaphor to complexity blinder. Ecological Economics 69:1219–1227. doi: 10.1016/j.ecolecon.2009.11.009</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Opdam P, Coninx I, Dewulf A, et al (2015) Framing ecosystem services: Affecting behaviour of actors in collaborative landscape planning? Land Use Policy 46:223–231. doi: 10.1016/j.landusepol.2015.02.008</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Petrosillo I, Costanza R, Aretano R, et al (2013) The use of subjective indicators to assess how natural and social capital support residents’ quality of life in a small volcanic island. Ecological Indicators 24:609–620. doi: 10.1016/j.ecolind.2012.08.021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Pietrzyk-Kaszyńska A, Cent J, Grodzińska-Jurczak M, Szymańska M (2012) Factors influencing perception of protected areas—The case of Natura 2000 in Polish Carpathian communities. Journal for Nature Conservation 20:284–292. doi: 10.1016/j.jnc.2012.05.005</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Pröpper M, Haupts F (2014) The culturality of ecosystem services. Emphasizing process and transformation. Ecological Economics 108:28–35. doi: 10.1016/j.ecolecon.2014.09.023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Ramsar Convention Secretariat (2010) Designating Ramsar Sites: Strategic Framework and guidelines for the future development of the List of Wetland for International Importance. Gland, Switzerland</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Raymond CM, Singh G, Benessaiah K, et al (2013) Ecosystem Services and Beyond. BioScience 63:536–546. doi: 10.1525/bio.2013.63.7.7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Rönnbäck P, Crona B, Ingwall L (2007) The return of ecosystem goods and services in replanted mangrove forests: perspectives from local communities in Kenya. Environmental Conservation 34:313–324. doi: 10.1017/S0376892907004225</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Sagie H, Morris A, Rofè Y, et al (2013) Cross-cultural perceptions of ecosystem services: A social inquiry on both sides of the Israeli–Jordanian border of the Southern Arava Valley Desert. Journal of Arid Environments 97:38–48. doi: 10.1016/j.jaridenv.2013.05.007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Salmon RA, Priestley RK, Goven J (2015) The reflexive scientist: an approach to transforming public engagement. Journal of Environmental Studies and Sciences. doi: 10.1007/s13412-015-0274-4</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Sayer EJ, Featherstone HC, Gosling WD (2014) Sex &amp; Bugs &amp; Rock ’n Roll--getting creative about public engagement. Trends in ecology &amp; evolution 29:65–7. doi: 10.1016/j.tree.2013.12.008</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Schneider E (2010) Floodplain Restoration of Large European Rivers with Examples from the Rhine and the Danube. In: Eiseltová M (ed) Restoration of Lakes, Streams, Floodplains, and Bogs in Europe. Springer Netherlands, pp 185–223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lastRenderedPageBreak/>
        <w:t>Scholte SSK, van Teeffelen AJA, Verburg PH (2015) Integrating socio-cultural perspectives into ecosystem service valuation: A review of concepts and methods. Ecological Economics 114:67–78. doi: 10.1016/j.ecolecon.2015.03.007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Schröter M, van der Zanden EH, van Oudenhoven APE, et al (2014) Ecosystem services as a contested concept: a synthesis of critique and counter-arguments. Conservation Letters 7:n/a–n/a. doi: 10.1111/conl.12091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Setten G, Stenseke M, Moen J (2012) Ecosystem services and landscape management: three challenges and one plea. International Journal of Biodiversity Science, Ecosystem Services &amp; Management 8:305–312. doi: 10.1080/21513732.2012.722127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Southworth J, Nagendra H, Munroe DK (2006) Introduction to the special issue: Are parks working? Exploring human–environment tradeoffs in protected area conservation. Applied Geography 26:87–95. doi: 10.1016/j.apgeog.2005.11.001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Stern PC, Dietz T (1994) The Value Basis of Environmental Concern. Journal of Social Issues 50:65–84. doi: 10.1111/j.1540-4560.1994.tb02420.x</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Tahvanainen L, Tyrväinen L, Ihalainen M, et al (2001) Forest management and public perceptions — visual versus verbal information. Landscape and Urban Planning 53:53–70. doi: 10.1016/S0169-2046(00)00137-7</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Tengberg A, Fredholm S, Eliasson I, et al (2012) Cultural ecosystem services provided by landscapes: Assessment of heritage values and identity. Ecosystem Services 2:14–26. doi: 10.1016/j.ecoser.2012.07.006</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Terkenli TS (2001) Towards a theory of the landscape: the Aegean landscape as a cultural image. Landscape and Urban Planning 57:197–208. doi: 10.1016/S0169-2046(01)00204-3</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van Asselen S, Verburg PH, Vermaat JE, Janse JH (2013) Drivers of wetland conversion: a global meta-analysis. PloS one 8:e81292. doi: 10.1371/journal.pone.0081292</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Varner J (2014) Scientific Outreach: Toward Effective Public Engagement with Biological Science. BioScience 64:333–340. doi: 10.1093/biosci/biu021</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Vaske JJ, Donnelly MP (1999) A Value-Attitude-Behavior Model Predicting Wildland Preservation Voting Intentions. Society &amp; Natural Resources 12:523–537. doi: 10.1080/089419299279425</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 xml:space="preserve">Verhoeven JTA (2014) Wetlands in Europe: Perspectives for restoration of a lost paradise. Ecological Engineering 6:6–9. </w:t>
      </w:r>
      <w:hyperlink r:id="rId36" w:tgtFrame="doilink" w:history="1">
        <w:r w:rsidRPr="00B75DA4">
          <w:rPr>
            <w:rStyle w:val="Hyperlink"/>
            <w:rFonts w:cs="Arial"/>
            <w:color w:val="auto"/>
            <w:sz w:val="20"/>
            <w:bdr w:val="none" w:sz="0" w:space="0" w:color="auto" w:frame="1"/>
            <w:shd w:val="clear" w:color="auto" w:fill="FFFFFF"/>
          </w:rPr>
          <w:t>doi:10.1016/j.ecoleng.2013.03.006</w:t>
        </w:r>
      </w:hyperlink>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noProof/>
          <w:sz w:val="20"/>
        </w:rPr>
        <w:t>Zedler JB, Kercher S (2005) W</w:t>
      </w:r>
      <w:r>
        <w:rPr>
          <w:rFonts w:cs="Arial"/>
          <w:noProof/>
          <w:sz w:val="20"/>
        </w:rPr>
        <w:t>etland Resources</w:t>
      </w:r>
      <w:r w:rsidRPr="00B75DA4">
        <w:rPr>
          <w:rFonts w:cs="Arial"/>
          <w:noProof/>
          <w:sz w:val="20"/>
        </w:rPr>
        <w:t>: Status, Trends, Ecosystem Services, and Restorability. Annual Review of Environment and Resources 30:39–74. doi: 10.1146/annurev.energy.30.050504.144248</w:t>
      </w:r>
    </w:p>
    <w:p w:rsidR="003F789A" w:rsidRPr="00B75DA4" w:rsidRDefault="003F789A" w:rsidP="00DE0DB5">
      <w:pPr>
        <w:widowControl w:val="0"/>
        <w:tabs>
          <w:tab w:val="left" w:pos="880"/>
        </w:tabs>
        <w:autoSpaceDE w:val="0"/>
        <w:autoSpaceDN w:val="0"/>
        <w:adjustRightInd w:val="0"/>
        <w:spacing w:after="140" w:line="240" w:lineRule="auto"/>
        <w:ind w:left="480" w:hanging="480"/>
        <w:jc w:val="left"/>
        <w:rPr>
          <w:rFonts w:cs="Arial"/>
          <w:noProof/>
          <w:sz w:val="20"/>
        </w:rPr>
      </w:pPr>
      <w:r w:rsidRPr="00B75DA4">
        <w:rPr>
          <w:rFonts w:cs="Arial"/>
          <w:sz w:val="20"/>
        </w:rPr>
        <w:fldChar w:fldCharType="end"/>
      </w:r>
      <w:r w:rsidRPr="00B75DA4">
        <w:rPr>
          <w:rFonts w:cs="Arial"/>
          <w:sz w:val="20"/>
        </w:rPr>
        <w:t xml:space="preserve"> </w:t>
      </w:r>
      <w:r w:rsidRPr="00B75DA4">
        <w:rPr>
          <w:rFonts w:cs="Arial"/>
          <w:noProof/>
          <w:sz w:val="20"/>
        </w:rPr>
        <w:t>WWF (2010)</w:t>
      </w:r>
      <w:r w:rsidRPr="00764F7E">
        <w:rPr>
          <w:rFonts w:cs="Arial"/>
          <w:noProof/>
          <w:sz w:val="20"/>
        </w:rPr>
        <w:t>. Lower Green Danube Corridor. Accessed online at</w:t>
      </w:r>
      <w:r w:rsidRPr="00B75DA4">
        <w:rPr>
          <w:rFonts w:cs="Arial"/>
          <w:i/>
          <w:noProof/>
          <w:sz w:val="20"/>
        </w:rPr>
        <w:t xml:space="preserve"> </w:t>
      </w:r>
      <w:r>
        <w:rPr>
          <w:rFonts w:cs="Arial"/>
          <w:i/>
          <w:noProof/>
          <w:sz w:val="20"/>
        </w:rPr>
        <w:t>h</w:t>
      </w:r>
      <w:r w:rsidRPr="00B75DA4">
        <w:rPr>
          <w:rFonts w:cs="Arial"/>
          <w:i/>
          <w:noProof/>
          <w:sz w:val="20"/>
        </w:rPr>
        <w:t>ttp://</w:t>
      </w:r>
      <w:r w:rsidRPr="00B75DA4">
        <w:rPr>
          <w:rFonts w:cs="Arial"/>
          <w:sz w:val="20"/>
          <w:shd w:val="clear" w:color="auto" w:fill="FFFFFF"/>
        </w:rPr>
        <w:t>assets.panda.org/downloads/wwf_ldgc.pdf</w:t>
      </w:r>
    </w:p>
    <w:p w:rsidR="003F789A" w:rsidRPr="00305C8C" w:rsidRDefault="003F789A" w:rsidP="00305C8C">
      <w:pPr>
        <w:rPr>
          <w:color w:val="4F6228"/>
          <w:sz w:val="40"/>
          <w:szCs w:val="40"/>
        </w:rPr>
      </w:pPr>
      <w:r>
        <w:br w:type="page"/>
      </w:r>
      <w:r w:rsidRPr="00305C8C">
        <w:rPr>
          <w:color w:val="4F6228"/>
          <w:sz w:val="40"/>
          <w:szCs w:val="40"/>
        </w:rPr>
        <w:lastRenderedPageBreak/>
        <w:t>Paper 2</w:t>
      </w:r>
    </w:p>
    <w:p w:rsidR="003F789A" w:rsidRPr="007062A7" w:rsidRDefault="003F789A" w:rsidP="005D128D">
      <w:pPr>
        <w:pStyle w:val="Heading2"/>
        <w:numPr>
          <w:ilvl w:val="0"/>
          <w:numId w:val="0"/>
        </w:numPr>
        <w:ind w:left="851"/>
        <w:rPr>
          <w:rFonts w:ascii="Arial Bold" w:hAnsi="Arial Bold"/>
          <w:color w:val="76923C"/>
        </w:rPr>
      </w:pPr>
      <w:r>
        <w:rPr>
          <w:rFonts w:cs="Arial"/>
        </w:rPr>
        <w:t xml:space="preserve">  </w:t>
      </w:r>
      <w:r w:rsidRPr="007062A7">
        <w:rPr>
          <w:rFonts w:ascii="Arial Bold" w:hAnsi="Arial Bold" w:cs="Arial"/>
          <w:color w:val="76923C"/>
        </w:rPr>
        <w:t xml:space="preserve"> </w:t>
      </w:r>
    </w:p>
    <w:p w:rsidR="003F789A" w:rsidRPr="007062A7" w:rsidRDefault="003F789A" w:rsidP="0032165B">
      <w:pPr>
        <w:pStyle w:val="Heading2"/>
        <w:numPr>
          <w:ilvl w:val="1"/>
          <w:numId w:val="43"/>
        </w:numPr>
        <w:ind w:left="851" w:hanging="851"/>
        <w:rPr>
          <w:rFonts w:ascii="Arial Bold" w:hAnsi="Arial Bold"/>
          <w:color w:val="76923C"/>
        </w:rPr>
      </w:pPr>
      <w:bookmarkStart w:id="161" w:name="_Toc436757166"/>
      <w:bookmarkStart w:id="162" w:name="_Toc436758105"/>
      <w:bookmarkStart w:id="163" w:name="_Toc436915639"/>
      <w:bookmarkStart w:id="164" w:name="_Toc436916078"/>
      <w:r w:rsidRPr="007062A7">
        <w:rPr>
          <w:rFonts w:ascii="Arial Bold" w:hAnsi="Arial Bold"/>
          <w:color w:val="76923C"/>
        </w:rPr>
        <w:t>Socio-cultural valuation of ecosystem services – A practical guide based on the use of deliberation</w:t>
      </w:r>
      <w:bookmarkEnd w:id="161"/>
      <w:bookmarkEnd w:id="162"/>
      <w:bookmarkEnd w:id="163"/>
      <w:bookmarkEnd w:id="164"/>
    </w:p>
    <w:p w:rsidR="003F789A" w:rsidRDefault="003F789A" w:rsidP="00E55058">
      <w:pPr>
        <w:spacing w:line="276" w:lineRule="auto"/>
        <w:rPr>
          <w:sz w:val="20"/>
        </w:rPr>
      </w:pPr>
    </w:p>
    <w:p w:rsidR="003F789A" w:rsidRPr="00130171" w:rsidRDefault="003F789A" w:rsidP="006D566F">
      <w:pPr>
        <w:spacing w:line="276" w:lineRule="auto"/>
        <w:ind w:right="-755"/>
        <w:rPr>
          <w:sz w:val="20"/>
        </w:rPr>
      </w:pPr>
      <w:r w:rsidRPr="006D566F">
        <w:rPr>
          <w:b/>
          <w:sz w:val="20"/>
        </w:rPr>
        <w:t>Deirdre Joyce, School of Architecture, Planning and Environmental Policy, University College Dublin</w:t>
      </w:r>
      <w:r w:rsidRPr="00130171">
        <w:rPr>
          <w:sz w:val="20"/>
        </w:rPr>
        <w:t>.</w:t>
      </w:r>
    </w:p>
    <w:p w:rsidR="003F789A" w:rsidRPr="007A7338" w:rsidRDefault="003F789A" w:rsidP="00E55058">
      <w:pPr>
        <w:rPr>
          <w:sz w:val="20"/>
        </w:rPr>
      </w:pPr>
    </w:p>
    <w:p w:rsidR="003F789A" w:rsidRDefault="003F789A" w:rsidP="006D566F">
      <w:pPr>
        <w:pStyle w:val="Heading3"/>
        <w:numPr>
          <w:ilvl w:val="0"/>
          <w:numId w:val="0"/>
        </w:numPr>
        <w:suppressAutoHyphens w:val="0"/>
        <w:spacing w:before="240" w:line="276" w:lineRule="auto"/>
      </w:pPr>
      <w:bookmarkStart w:id="165" w:name="_Toc436757167"/>
      <w:bookmarkStart w:id="166" w:name="_Toc436758106"/>
      <w:bookmarkStart w:id="167" w:name="_Toc436915640"/>
      <w:bookmarkStart w:id="168" w:name="_Toc436916079"/>
      <w:r>
        <w:t xml:space="preserve">5.3.1 </w:t>
      </w:r>
      <w:r w:rsidRPr="0005062B">
        <w:t>Conceptual Models for capturing SCV</w:t>
      </w:r>
      <w:bookmarkEnd w:id="165"/>
      <w:bookmarkEnd w:id="166"/>
      <w:bookmarkEnd w:id="167"/>
      <w:bookmarkEnd w:id="168"/>
    </w:p>
    <w:p w:rsidR="003F789A" w:rsidRPr="007A7338" w:rsidRDefault="003F789A" w:rsidP="00E55058">
      <w:pPr>
        <w:spacing w:after="0"/>
      </w:pPr>
    </w:p>
    <w:p w:rsidR="003F789A" w:rsidRDefault="003F789A" w:rsidP="00E55058">
      <w:pPr>
        <w:widowControl w:val="0"/>
        <w:tabs>
          <w:tab w:val="left" w:pos="880"/>
        </w:tabs>
        <w:spacing w:line="360" w:lineRule="auto"/>
        <w:rPr>
          <w:sz w:val="20"/>
        </w:rPr>
      </w:pPr>
      <w:r w:rsidRPr="0005062B">
        <w:rPr>
          <w:sz w:val="20"/>
        </w:rPr>
        <w:t xml:space="preserve">The ES Approach (ESA) to decision-making is different to other assessment models because it examines change in terms of alterations in service benefits under the frame of the ‘ES typology’ at a specific scale and/or within a selected setting (MA, 2005). It uses ecosystems services (ES) as the guise to detect the socio-ecological links between people and nature through the identification of users and beneficiaries of ES (MA, 2005, UNEP-WCMC, 2011, Spangenberg, et al, 2014, Chan et al, 2012). </w:t>
      </w:r>
      <w:proofErr w:type="spellStart"/>
      <w:r w:rsidRPr="0005062B">
        <w:rPr>
          <w:sz w:val="20"/>
        </w:rPr>
        <w:t>Tomich</w:t>
      </w:r>
      <w:proofErr w:type="spellEnd"/>
      <w:r w:rsidRPr="0005062B">
        <w:rPr>
          <w:sz w:val="20"/>
        </w:rPr>
        <w:t xml:space="preserve"> et al in Ash (2010) describe the development of conceptual frameworks for ES Assessment and outline that these frameworks are anthropocentric and must establish the “centrality of nature to people”.  Nature has many different meanings to people and therefore a pluralist approach which aims to capture the range of linkages between both natural and social processes as they relate to underlying ES is required. Knowledge about these linkages can only be found by engaging with stakeholders to establish what they value most (Ibid). </w:t>
      </w:r>
    </w:p>
    <w:p w:rsidR="003F789A" w:rsidRPr="0005062B" w:rsidRDefault="003F789A" w:rsidP="00E55058">
      <w:pPr>
        <w:widowControl w:val="0"/>
        <w:tabs>
          <w:tab w:val="left" w:pos="880"/>
        </w:tabs>
        <w:spacing w:line="360" w:lineRule="auto"/>
        <w:rPr>
          <w:sz w:val="20"/>
        </w:rPr>
      </w:pPr>
    </w:p>
    <w:p w:rsidR="003F789A" w:rsidRPr="0005062B" w:rsidRDefault="003F789A" w:rsidP="00E55058">
      <w:pPr>
        <w:widowControl w:val="0"/>
        <w:tabs>
          <w:tab w:val="left" w:pos="880"/>
        </w:tabs>
        <w:spacing w:line="360" w:lineRule="auto"/>
        <w:rPr>
          <w:sz w:val="20"/>
        </w:rPr>
      </w:pPr>
      <w:r w:rsidRPr="0005062B">
        <w:rPr>
          <w:sz w:val="20"/>
        </w:rPr>
        <w:t>ES assessment can apply ecological, economic or socio-cultural assessment or combine each of these approaches</w:t>
      </w:r>
      <w:r>
        <w:rPr>
          <w:sz w:val="20"/>
        </w:rPr>
        <w:t>.</w:t>
      </w:r>
      <w:r w:rsidRPr="0005062B">
        <w:rPr>
          <w:sz w:val="20"/>
        </w:rPr>
        <w:t xml:space="preserve"> The</w:t>
      </w:r>
      <w:r>
        <w:rPr>
          <w:sz w:val="20"/>
        </w:rPr>
        <w:t>se</w:t>
      </w:r>
      <w:r w:rsidRPr="0005062B">
        <w:rPr>
          <w:sz w:val="20"/>
        </w:rPr>
        <w:t xml:space="preserve"> can be carried out by means of:</w:t>
      </w:r>
    </w:p>
    <w:p w:rsidR="003F789A" w:rsidRPr="0005062B" w:rsidRDefault="003F789A" w:rsidP="00E55058">
      <w:pPr>
        <w:widowControl w:val="0"/>
        <w:tabs>
          <w:tab w:val="left" w:pos="880"/>
        </w:tabs>
        <w:spacing w:line="360" w:lineRule="auto"/>
        <w:rPr>
          <w:sz w:val="20"/>
        </w:rPr>
      </w:pPr>
      <w:r w:rsidRPr="0005062B">
        <w:rPr>
          <w:sz w:val="20"/>
        </w:rPr>
        <w:t>(</w:t>
      </w:r>
      <w:proofErr w:type="spellStart"/>
      <w:r w:rsidRPr="0005062B">
        <w:rPr>
          <w:sz w:val="20"/>
        </w:rPr>
        <w:t>i</w:t>
      </w:r>
      <w:proofErr w:type="spellEnd"/>
      <w:r w:rsidRPr="0005062B">
        <w:rPr>
          <w:sz w:val="20"/>
        </w:rPr>
        <w:t>) A scientific analysis of land use and mapping of service functions (Ecological)</w:t>
      </w:r>
    </w:p>
    <w:p w:rsidR="003F789A" w:rsidRPr="0005062B" w:rsidRDefault="003F789A" w:rsidP="00E55058">
      <w:pPr>
        <w:widowControl w:val="0"/>
        <w:tabs>
          <w:tab w:val="left" w:pos="880"/>
        </w:tabs>
        <w:spacing w:line="360" w:lineRule="auto"/>
        <w:rPr>
          <w:sz w:val="20"/>
        </w:rPr>
      </w:pPr>
      <w:r w:rsidRPr="0005062B">
        <w:rPr>
          <w:sz w:val="20"/>
        </w:rPr>
        <w:t>(ii) An utilitarian economic valuation methods to capture the Total Economic Value (use and non-use) ES (Economic)</w:t>
      </w:r>
    </w:p>
    <w:p w:rsidR="003F789A" w:rsidRPr="0005062B" w:rsidRDefault="003F789A" w:rsidP="00E55058">
      <w:pPr>
        <w:widowControl w:val="0"/>
        <w:tabs>
          <w:tab w:val="left" w:pos="880"/>
        </w:tabs>
        <w:spacing w:line="360" w:lineRule="auto"/>
        <w:rPr>
          <w:sz w:val="20"/>
        </w:rPr>
      </w:pPr>
      <w:r w:rsidRPr="0005062B">
        <w:rPr>
          <w:sz w:val="20"/>
        </w:rPr>
        <w:t xml:space="preserve">(iii) The individual use /or combined use of qualitative, deliberative or discourse methods with more rational methods to draw out expressions of Socio-Cultural linkages with ES - be this a characterisation of values or benefits arising from a specific socio-ecological system or context, a more quantitative process of ranking of values, or a mapping </w:t>
      </w:r>
      <w:r>
        <w:rPr>
          <w:sz w:val="20"/>
        </w:rPr>
        <w:t xml:space="preserve">of </w:t>
      </w:r>
      <w:r w:rsidRPr="0005062B">
        <w:rPr>
          <w:sz w:val="20"/>
        </w:rPr>
        <w:t xml:space="preserve">the location of different value characteristics within a given setting (SCV). These values </w:t>
      </w:r>
      <w:r>
        <w:rPr>
          <w:sz w:val="20"/>
        </w:rPr>
        <w:t xml:space="preserve">can </w:t>
      </w:r>
      <w:r w:rsidRPr="0005062B">
        <w:rPr>
          <w:sz w:val="20"/>
        </w:rPr>
        <w:t xml:space="preserve">be articulated through processes which are individual (self-oriented) or group </w:t>
      </w:r>
      <w:r>
        <w:rPr>
          <w:sz w:val="20"/>
        </w:rPr>
        <w:t>(other</w:t>
      </w:r>
      <w:r w:rsidRPr="0005062B">
        <w:rPr>
          <w:sz w:val="20"/>
        </w:rPr>
        <w:t>-oriented</w:t>
      </w:r>
      <w:r>
        <w:rPr>
          <w:sz w:val="20"/>
        </w:rPr>
        <w:t>)</w:t>
      </w:r>
      <w:r w:rsidRPr="0005062B">
        <w:rPr>
          <w:sz w:val="20"/>
        </w:rPr>
        <w:t>.</w:t>
      </w:r>
      <w:r>
        <w:rPr>
          <w:sz w:val="20"/>
        </w:rPr>
        <w:t xml:space="preserve"> </w:t>
      </w:r>
      <w:r w:rsidRPr="0005062B">
        <w:rPr>
          <w:sz w:val="20"/>
        </w:rPr>
        <w:t xml:space="preserve">The purpose of this paper is to present an overview of the third assessment process – that is the </w:t>
      </w:r>
      <w:r>
        <w:rPr>
          <w:sz w:val="20"/>
        </w:rPr>
        <w:t>socio-cultural valuation (</w:t>
      </w:r>
      <w:r w:rsidRPr="0005062B">
        <w:rPr>
          <w:sz w:val="20"/>
        </w:rPr>
        <w:t>SCV</w:t>
      </w:r>
      <w:r>
        <w:rPr>
          <w:sz w:val="20"/>
        </w:rPr>
        <w:t xml:space="preserve">) </w:t>
      </w:r>
      <w:r w:rsidRPr="0005062B">
        <w:rPr>
          <w:sz w:val="20"/>
        </w:rPr>
        <w:t>of ES.</w:t>
      </w:r>
    </w:p>
    <w:p w:rsidR="003F789A" w:rsidRPr="00E55058" w:rsidRDefault="003F789A" w:rsidP="00E55058">
      <w:pPr>
        <w:widowControl w:val="0"/>
        <w:tabs>
          <w:tab w:val="left" w:pos="880"/>
        </w:tabs>
        <w:spacing w:line="360" w:lineRule="auto"/>
        <w:rPr>
          <w:b/>
          <w:i/>
          <w:sz w:val="20"/>
        </w:rPr>
      </w:pPr>
    </w:p>
    <w:p w:rsidR="003F789A" w:rsidRPr="006D566F" w:rsidRDefault="003F789A" w:rsidP="00E55058">
      <w:pPr>
        <w:widowControl w:val="0"/>
        <w:tabs>
          <w:tab w:val="left" w:pos="880"/>
        </w:tabs>
        <w:spacing w:line="360" w:lineRule="auto"/>
        <w:rPr>
          <w:b/>
          <w:sz w:val="20"/>
        </w:rPr>
      </w:pPr>
      <w:r w:rsidRPr="006D566F">
        <w:rPr>
          <w:b/>
          <w:sz w:val="20"/>
        </w:rPr>
        <w:lastRenderedPageBreak/>
        <w:t>Socio-Cultural Values</w:t>
      </w:r>
    </w:p>
    <w:p w:rsidR="003F789A" w:rsidRPr="0005062B" w:rsidRDefault="003F789A" w:rsidP="00E55058">
      <w:pPr>
        <w:widowControl w:val="0"/>
        <w:tabs>
          <w:tab w:val="left" w:pos="880"/>
        </w:tabs>
        <w:spacing w:line="360" w:lineRule="auto"/>
        <w:rPr>
          <w:bCs/>
          <w:sz w:val="20"/>
        </w:rPr>
      </w:pPr>
      <w:r w:rsidRPr="0005062B">
        <w:rPr>
          <w:rFonts w:cs="GulliverRM"/>
          <w:sz w:val="20"/>
        </w:rPr>
        <w:t xml:space="preserve">While the literature places emphasis on the need to capture Socio-Cultural Values there is inconsistency in its interpretation and conceptualisation. There is significant cross over and conflation of the concept with the MA’s conceptualisation of Cultural Services and </w:t>
      </w:r>
      <w:r w:rsidRPr="0005062B">
        <w:rPr>
          <w:rFonts w:cs="Arial"/>
          <w:sz w:val="20"/>
          <w:lang w:eastAsia="en-IE"/>
        </w:rPr>
        <w:t>a range of values and concepts relating to SCV in the literature (Scholte et al, 2015). The MA refers to the “socio-cultural perspective”, which can be linked to wide ranging aspects such a social rules, community identity, inspirational experiences but characteristically these values should be above utilitarian “preference satisfaction”. For de Groot (in TEEB, 2010) -cultural values are synonymous with non-use health and wellbeing bene</w:t>
      </w:r>
      <w:r>
        <w:rPr>
          <w:rFonts w:cs="Arial"/>
          <w:sz w:val="20"/>
          <w:lang w:eastAsia="en-IE"/>
        </w:rPr>
        <w:t>f</w:t>
      </w:r>
      <w:r w:rsidRPr="0005062B">
        <w:rPr>
          <w:rFonts w:cs="Arial"/>
          <w:sz w:val="20"/>
          <w:lang w:eastAsia="en-IE"/>
        </w:rPr>
        <w:t xml:space="preserve">its, but in other instances they are considered to represent material as well as non-material values. </w:t>
      </w:r>
      <w:r w:rsidRPr="0005062B">
        <w:rPr>
          <w:rFonts w:cs="Tahoma"/>
          <w:bCs/>
          <w:sz w:val="20"/>
        </w:rPr>
        <w:t xml:space="preserve">Haines-Young and </w:t>
      </w:r>
      <w:proofErr w:type="spellStart"/>
      <w:r w:rsidRPr="0005062B">
        <w:rPr>
          <w:rFonts w:cs="Tahoma"/>
          <w:bCs/>
          <w:sz w:val="20"/>
        </w:rPr>
        <w:t>Potschin</w:t>
      </w:r>
      <w:proofErr w:type="spellEnd"/>
      <w:r w:rsidRPr="0005062B">
        <w:rPr>
          <w:rFonts w:cs="Tahoma"/>
          <w:bCs/>
          <w:sz w:val="20"/>
        </w:rPr>
        <w:t xml:space="preserve"> (2009) refer to factors that contribute to 'Socio-cultural fulfilment'. They comprise spiritual/</w:t>
      </w:r>
      <w:r w:rsidRPr="0005062B">
        <w:rPr>
          <w:rFonts w:cs="Tahoma"/>
          <w:sz w:val="20"/>
        </w:rPr>
        <w:t xml:space="preserve">philosophical contentment, social groupings, recreation/leisure, meaningful occupation, aesthetics, and opportunity values (culture, biological, knowledge and education and genetic resources).  </w:t>
      </w:r>
      <w:proofErr w:type="spellStart"/>
      <w:r w:rsidRPr="0005062B">
        <w:rPr>
          <w:rFonts w:cs="Tahoma"/>
          <w:sz w:val="20"/>
        </w:rPr>
        <w:t>Zografos</w:t>
      </w:r>
      <w:proofErr w:type="spellEnd"/>
      <w:r w:rsidRPr="0005062B">
        <w:rPr>
          <w:rFonts w:cs="Tahoma"/>
          <w:sz w:val="20"/>
        </w:rPr>
        <w:t xml:space="preserve"> and Kumar (in TEEB, 2010, Chapter 4) consider it necessary to examine the ‘socio-cultural context’ or different interpretations of  value because, although the benefits of ES might be the same, the values attached to these benefits will be different depending on the socio-cultural preferences of individuals or communities. It is necessary therefore to understand the spectrum of SCV including social attitudes and preferences as they impact on direct use and non-consumptive value as well as values more associated with instrumental or utility benefits. </w:t>
      </w:r>
      <w:r w:rsidRPr="0005062B">
        <w:rPr>
          <w:bCs/>
          <w:sz w:val="20"/>
        </w:rPr>
        <w:t>Evidence of socio-ecological relationships may also emerge from the process, although they may not necessarily always be the target of the assessment.</w:t>
      </w:r>
    </w:p>
    <w:p w:rsidR="003F789A" w:rsidRDefault="003F789A" w:rsidP="00E55058">
      <w:pPr>
        <w:tabs>
          <w:tab w:val="left" w:pos="880"/>
        </w:tabs>
        <w:spacing w:line="360" w:lineRule="auto"/>
        <w:rPr>
          <w:i/>
          <w:sz w:val="20"/>
        </w:rPr>
      </w:pPr>
    </w:p>
    <w:p w:rsidR="003F789A" w:rsidRPr="006D566F" w:rsidRDefault="003F789A" w:rsidP="00E55058">
      <w:pPr>
        <w:tabs>
          <w:tab w:val="left" w:pos="880"/>
        </w:tabs>
        <w:spacing w:line="360" w:lineRule="auto"/>
        <w:rPr>
          <w:b/>
          <w:sz w:val="20"/>
        </w:rPr>
      </w:pPr>
      <w:r w:rsidRPr="006D566F">
        <w:rPr>
          <w:b/>
          <w:sz w:val="20"/>
        </w:rPr>
        <w:t xml:space="preserve">Socio-cultural </w:t>
      </w:r>
      <w:r>
        <w:rPr>
          <w:b/>
          <w:sz w:val="20"/>
        </w:rPr>
        <w:t>v</w:t>
      </w:r>
      <w:r w:rsidRPr="006D566F">
        <w:rPr>
          <w:b/>
          <w:sz w:val="20"/>
        </w:rPr>
        <w:t xml:space="preserve">aluation </w:t>
      </w:r>
    </w:p>
    <w:p w:rsidR="003F789A" w:rsidRDefault="003F789A" w:rsidP="008D1372">
      <w:pPr>
        <w:tabs>
          <w:tab w:val="left" w:pos="880"/>
        </w:tabs>
        <w:spacing w:line="360" w:lineRule="auto"/>
        <w:rPr>
          <w:sz w:val="20"/>
        </w:rPr>
      </w:pPr>
      <w:r w:rsidRPr="0005062B">
        <w:rPr>
          <w:bCs/>
          <w:sz w:val="20"/>
        </w:rPr>
        <w:t xml:space="preserve">The many interpretations of what is meant by </w:t>
      </w:r>
      <w:r>
        <w:rPr>
          <w:bCs/>
          <w:sz w:val="20"/>
        </w:rPr>
        <w:t>s</w:t>
      </w:r>
      <w:r w:rsidRPr="0005062B">
        <w:rPr>
          <w:bCs/>
          <w:sz w:val="20"/>
        </w:rPr>
        <w:t>ocio-</w:t>
      </w:r>
      <w:r>
        <w:rPr>
          <w:bCs/>
          <w:sz w:val="20"/>
        </w:rPr>
        <w:t>c</w:t>
      </w:r>
      <w:r w:rsidRPr="0005062B">
        <w:rPr>
          <w:bCs/>
          <w:sz w:val="20"/>
        </w:rPr>
        <w:t xml:space="preserve">ultural </w:t>
      </w:r>
      <w:r>
        <w:rPr>
          <w:bCs/>
          <w:sz w:val="20"/>
        </w:rPr>
        <w:t>v</w:t>
      </w:r>
      <w:r w:rsidRPr="0005062B">
        <w:rPr>
          <w:bCs/>
          <w:sz w:val="20"/>
        </w:rPr>
        <w:t>alue likew</w:t>
      </w:r>
      <w:r>
        <w:rPr>
          <w:bCs/>
          <w:sz w:val="20"/>
        </w:rPr>
        <w:t>i</w:t>
      </w:r>
      <w:r w:rsidRPr="0005062B">
        <w:rPr>
          <w:bCs/>
          <w:sz w:val="20"/>
        </w:rPr>
        <w:t xml:space="preserve">se cause </w:t>
      </w:r>
      <w:r>
        <w:rPr>
          <w:bCs/>
          <w:sz w:val="20"/>
        </w:rPr>
        <w:t xml:space="preserve">socio-cultural valuation </w:t>
      </w:r>
      <w:r w:rsidRPr="0005062B">
        <w:rPr>
          <w:bCs/>
          <w:sz w:val="20"/>
        </w:rPr>
        <w:t>(SCV) to mean many different things. SCV</w:t>
      </w:r>
      <w:r w:rsidRPr="0005062B">
        <w:rPr>
          <w:sz w:val="20"/>
        </w:rPr>
        <w:t xml:space="preserve"> is a process of understanding stakeholder perceptions and interactions with, their natural environment . The MA (2005) conceptualisation for the assessment of ES puts human-environment interactions at the core of the process. Ecosystems do not provide services in themselves, it is only when they are used by people or they support human-wellbeing indirectly, do they become ES</w:t>
      </w:r>
      <w:r w:rsidR="008C4819">
        <w:rPr>
          <w:sz w:val="20"/>
        </w:rPr>
        <w:t xml:space="preserve"> (Spangenberg et al</w:t>
      </w:r>
      <w:r w:rsidR="00067695">
        <w:rPr>
          <w:sz w:val="20"/>
        </w:rPr>
        <w:t>,</w:t>
      </w:r>
      <w:bookmarkStart w:id="169" w:name="_GoBack"/>
      <w:bookmarkEnd w:id="169"/>
      <w:r w:rsidR="008C4819">
        <w:rPr>
          <w:sz w:val="20"/>
        </w:rPr>
        <w:t xml:space="preserve"> 2014)</w:t>
      </w:r>
      <w:r w:rsidRPr="0005062B">
        <w:rPr>
          <w:sz w:val="20"/>
        </w:rPr>
        <w:t xml:space="preserve">. It is the demand-side benefits of ecosystems that are of interest initially, as this is the conduit to establishing the services which support these benefits and which in turn provide an indication of the relative importance of particular ES to people. Stakeholder interpretations of value are the key to the process of valuation. SCV is not expert driven and relies principally on the expression of self-reported values by individuals or groups. The ordering of the importance of particular ES in a given assessment may therefore be quite different to that espoused by economic or ecological ES valuation processes and can highlight disparities between lay and expert interpretations of the values attached to ES.  The role of the SCV processes is to highlight such differences in a full ES assessment, as well as to provide information about value differences between individuals and groups and to generate knowledge about priority ES to inform management of land use and decisions on land use change. </w:t>
      </w:r>
    </w:p>
    <w:p w:rsidR="003F789A" w:rsidRDefault="003F789A" w:rsidP="008D1372">
      <w:pPr>
        <w:tabs>
          <w:tab w:val="left" w:pos="880"/>
        </w:tabs>
        <w:spacing w:line="360" w:lineRule="auto"/>
        <w:rPr>
          <w:sz w:val="20"/>
        </w:rPr>
      </w:pPr>
    </w:p>
    <w:p w:rsidR="003F789A" w:rsidRDefault="003F789A" w:rsidP="008D1372">
      <w:pPr>
        <w:tabs>
          <w:tab w:val="left" w:pos="880"/>
        </w:tabs>
        <w:spacing w:line="360" w:lineRule="auto"/>
        <w:rPr>
          <w:rFonts w:cs="Tahoma"/>
          <w:sz w:val="20"/>
        </w:rPr>
      </w:pPr>
      <w:r w:rsidRPr="0005062B">
        <w:rPr>
          <w:rFonts w:cs="Tahoma"/>
          <w:sz w:val="20"/>
        </w:rPr>
        <w:t>Alongside the confusion in the literature about what constitutes Socio-Cultural Value there is also a lack of clarity about the methodological approach and scope of SCV. This has affected the emergence of clear methodologies. Firstly there is a persistent confusion between the terms ‘service benefits’ and ‘values’ within the literature, and between Cultural Service</w:t>
      </w:r>
      <w:r w:rsidR="006B65E3">
        <w:rPr>
          <w:rFonts w:cs="Tahoma"/>
          <w:sz w:val="20"/>
        </w:rPr>
        <w:t xml:space="preserve">s </w:t>
      </w:r>
      <w:r w:rsidRPr="0005062B">
        <w:rPr>
          <w:rFonts w:cs="Tahoma"/>
          <w:sz w:val="20"/>
        </w:rPr>
        <w:t xml:space="preserve">and socio-cultural </w:t>
      </w:r>
      <w:proofErr w:type="gramStart"/>
      <w:r w:rsidRPr="0005062B">
        <w:rPr>
          <w:rFonts w:cs="Tahoma"/>
          <w:sz w:val="20"/>
        </w:rPr>
        <w:t>values  (</w:t>
      </w:r>
      <w:proofErr w:type="gramEnd"/>
      <w:r w:rsidRPr="0005062B">
        <w:rPr>
          <w:rFonts w:cs="Tahoma"/>
          <w:sz w:val="20"/>
        </w:rPr>
        <w:t xml:space="preserve">Chan et al, 2012, </w:t>
      </w:r>
      <w:proofErr w:type="spellStart"/>
      <w:r w:rsidRPr="0005062B">
        <w:rPr>
          <w:rFonts w:cs="Tahoma"/>
          <w:sz w:val="20"/>
        </w:rPr>
        <w:t>Satz</w:t>
      </w:r>
      <w:proofErr w:type="spellEnd"/>
      <w:r w:rsidRPr="0005062B">
        <w:rPr>
          <w:rFonts w:cs="Tahoma"/>
          <w:sz w:val="20"/>
        </w:rPr>
        <w:t xml:space="preserve"> et al, 2013). The MA (2005) represents Cultural Service valuation as the ‘social’ unit of analysis of ES within the typology of services. This only applies to the “non-material benefits people obtain from ecosystems…” (p. 40), whereas social valuation is much wider, capturing both material and non-material benefits as they apply to </w:t>
      </w:r>
      <w:r w:rsidRPr="0005062B">
        <w:rPr>
          <w:rFonts w:cs="Tahoma"/>
          <w:sz w:val="20"/>
          <w:u w:val="single"/>
        </w:rPr>
        <w:t>all</w:t>
      </w:r>
      <w:r w:rsidRPr="0005062B">
        <w:rPr>
          <w:rFonts w:cs="Tahoma"/>
          <w:sz w:val="20"/>
        </w:rPr>
        <w:t xml:space="preserve"> services (Felipe-Lucia et al, 2015 and Scholte et al, 2015). </w:t>
      </w:r>
      <w:proofErr w:type="spellStart"/>
      <w:r w:rsidRPr="0005062B">
        <w:rPr>
          <w:rFonts w:cs="Tahoma"/>
          <w:sz w:val="20"/>
        </w:rPr>
        <w:t>Satz</w:t>
      </w:r>
      <w:proofErr w:type="spellEnd"/>
      <w:r w:rsidRPr="0005062B">
        <w:rPr>
          <w:rFonts w:cs="Tahoma"/>
          <w:sz w:val="20"/>
        </w:rPr>
        <w:t xml:space="preserve"> et al offer some clarity by explaining that services produce a large number of ‘benefits’ (market and non-market) which in turn are assigned different kinds of ‘value’ and these values can have different meanings and weights according to their use by individuals or communities. Therefore SCV tries to establish the patchwork of benefits-to-value linkages within a given site </w:t>
      </w:r>
      <w:r w:rsidRPr="008D1372">
        <w:rPr>
          <w:rFonts w:cs="Tahoma"/>
          <w:sz w:val="20"/>
        </w:rPr>
        <w:t>across all services, not just Cultural. What is unique about this method is that it is the stakeholders</w:t>
      </w:r>
      <w:r w:rsidRPr="0005062B">
        <w:rPr>
          <w:rFonts w:cs="Tahoma"/>
          <w:sz w:val="20"/>
        </w:rPr>
        <w:t xml:space="preserve"> or the public, not scientists, decision makers or external experts, who decide what the benefits-to-value linkages are. The conflation in terms between ‘values’ and ‘benefits’ and ‘services’ has made it difficult to interpret the correct entry point for the characterisation of SCV with the result there is no agreement as yet within the literature on the conceptual framework and sequencing for the process of assessing SCV</w:t>
      </w:r>
      <w:r>
        <w:rPr>
          <w:rFonts w:cs="Tahoma"/>
          <w:sz w:val="20"/>
        </w:rPr>
        <w:t>.</w:t>
      </w:r>
      <w:r w:rsidRPr="0005062B">
        <w:rPr>
          <w:rFonts w:cs="Tahoma"/>
          <w:sz w:val="20"/>
        </w:rPr>
        <w:t xml:space="preserve"> </w:t>
      </w:r>
    </w:p>
    <w:p w:rsidR="003F789A" w:rsidRDefault="003F789A" w:rsidP="008D1372">
      <w:pPr>
        <w:tabs>
          <w:tab w:val="left" w:pos="880"/>
        </w:tabs>
        <w:spacing w:line="360" w:lineRule="auto"/>
        <w:rPr>
          <w:rFonts w:cs="Tahoma"/>
          <w:sz w:val="20"/>
        </w:rPr>
      </w:pPr>
    </w:p>
    <w:p w:rsidR="003F789A" w:rsidRPr="008D1372" w:rsidRDefault="003F789A" w:rsidP="008D1372">
      <w:pPr>
        <w:tabs>
          <w:tab w:val="left" w:pos="880"/>
        </w:tabs>
        <w:spacing w:line="360" w:lineRule="auto"/>
        <w:rPr>
          <w:rFonts w:cs="Tahoma"/>
          <w:b/>
          <w:bCs/>
          <w:i/>
          <w:sz w:val="20"/>
        </w:rPr>
      </w:pPr>
      <w:r w:rsidRPr="008D1372">
        <w:rPr>
          <w:rFonts w:cs="Tahoma"/>
          <w:b/>
          <w:bCs/>
          <w:i/>
          <w:sz w:val="20"/>
        </w:rPr>
        <w:t>Sequencing of Socio-Cultural Valuation</w:t>
      </w:r>
    </w:p>
    <w:p w:rsidR="003F789A" w:rsidRPr="0005062B" w:rsidRDefault="003F789A" w:rsidP="008D1372">
      <w:pPr>
        <w:tabs>
          <w:tab w:val="left" w:pos="880"/>
        </w:tabs>
        <w:spacing w:line="360" w:lineRule="auto"/>
        <w:rPr>
          <w:rFonts w:cs="Tahoma"/>
          <w:sz w:val="20"/>
        </w:rPr>
      </w:pPr>
      <w:r w:rsidRPr="0005062B">
        <w:rPr>
          <w:rFonts w:cs="Tahoma"/>
          <w:bCs/>
          <w:sz w:val="20"/>
        </w:rPr>
        <w:t>The purpose of SCV is to identify or draw out which ES are interpreted as being important to people within a given context, time and spatial scale. The ES framework for assessment designed by the MA (2005) suggests that you need to understand: (</w:t>
      </w:r>
      <w:proofErr w:type="spellStart"/>
      <w:r w:rsidRPr="0005062B">
        <w:rPr>
          <w:rFonts w:cs="Tahoma"/>
          <w:bCs/>
          <w:sz w:val="20"/>
        </w:rPr>
        <w:t>i</w:t>
      </w:r>
      <w:proofErr w:type="spellEnd"/>
      <w:r w:rsidRPr="0005062B">
        <w:rPr>
          <w:rFonts w:cs="Tahoma"/>
          <w:bCs/>
          <w:sz w:val="20"/>
        </w:rPr>
        <w:t>) ecological elements (ii) the service production arising from the ecological elements (iii) the benefits (“constituents of wellbeing”) and (iv) identify the values attached to these benefits. If we are to understand the value of ES it will be necessary to first identify the benefit or beneficiaries to work out what is, or is not, a service (Boyd and Banzhaf, 2007)</w:t>
      </w:r>
      <w:r w:rsidRPr="0005062B">
        <w:rPr>
          <w:sz w:val="20"/>
        </w:rPr>
        <w:t xml:space="preserve">.  This puts stakeholders at the centre of the process of both service identification and value articulation. </w:t>
      </w:r>
      <w:r w:rsidRPr="0005062B">
        <w:rPr>
          <w:rFonts w:cs="Tahoma"/>
          <w:bCs/>
          <w:sz w:val="20"/>
        </w:rPr>
        <w:t xml:space="preserve">The MA’s model suggests that there is a sequential process starting out with identification of ES services which then leads to the identification of benefits. </w:t>
      </w:r>
      <w:proofErr w:type="spellStart"/>
      <w:r w:rsidRPr="0005062B">
        <w:rPr>
          <w:rFonts w:cs="Tahoma"/>
          <w:bCs/>
          <w:sz w:val="20"/>
        </w:rPr>
        <w:t>Raffaelli</w:t>
      </w:r>
      <w:proofErr w:type="spellEnd"/>
      <w:r w:rsidRPr="0005062B">
        <w:rPr>
          <w:rFonts w:cs="Tahoma"/>
          <w:bCs/>
          <w:sz w:val="20"/>
        </w:rPr>
        <w:t xml:space="preserve"> (2006) and Boyd and Banzhaf propose another arrangement, i.e. </w:t>
      </w:r>
      <w:r w:rsidRPr="0005062B">
        <w:rPr>
          <w:rFonts w:cs="Tahoma"/>
          <w:sz w:val="20"/>
        </w:rPr>
        <w:t xml:space="preserve">that the process should commence on the ‘benefits’ side before  working back to the various ES services that support these benefits rather than the other, more conventional, way of beginning with the ES as suggested by the MA.  Ultimately it is the identification of the </w:t>
      </w:r>
      <w:r w:rsidRPr="0005062B">
        <w:rPr>
          <w:rFonts w:cs="Tahoma"/>
          <w:sz w:val="20"/>
          <w:u w:val="single"/>
        </w:rPr>
        <w:t xml:space="preserve">benefit </w:t>
      </w:r>
      <w:r w:rsidRPr="0005062B">
        <w:rPr>
          <w:rFonts w:cs="Tahoma"/>
          <w:sz w:val="20"/>
        </w:rPr>
        <w:t xml:space="preserve">that provides the route or pathway to the identification of the </w:t>
      </w:r>
      <w:r>
        <w:rPr>
          <w:rFonts w:cs="Tahoma"/>
          <w:sz w:val="20"/>
        </w:rPr>
        <w:t>ES</w:t>
      </w:r>
      <w:r w:rsidRPr="0005062B">
        <w:rPr>
          <w:rFonts w:cs="Tahoma"/>
          <w:sz w:val="20"/>
        </w:rPr>
        <w:t xml:space="preserve"> of importance within a given context. </w:t>
      </w:r>
    </w:p>
    <w:p w:rsidR="003F789A" w:rsidRPr="0005062B" w:rsidRDefault="003F789A" w:rsidP="00E55058">
      <w:pPr>
        <w:keepNext/>
        <w:widowControl w:val="0"/>
        <w:tabs>
          <w:tab w:val="left" w:pos="880"/>
        </w:tabs>
        <w:autoSpaceDE w:val="0"/>
        <w:autoSpaceDN w:val="0"/>
        <w:adjustRightInd w:val="0"/>
        <w:spacing w:after="0" w:line="360" w:lineRule="auto"/>
        <w:rPr>
          <w:rFonts w:cs="Tahoma"/>
          <w:bCs/>
          <w:sz w:val="20"/>
        </w:rPr>
      </w:pPr>
    </w:p>
    <w:p w:rsidR="003F789A" w:rsidRDefault="003F789A" w:rsidP="008D1372">
      <w:pPr>
        <w:pStyle w:val="Heading3"/>
        <w:widowControl w:val="0"/>
        <w:numPr>
          <w:ilvl w:val="2"/>
          <w:numId w:val="44"/>
        </w:numPr>
        <w:suppressAutoHyphens w:val="0"/>
        <w:spacing w:before="240" w:line="276" w:lineRule="auto"/>
      </w:pPr>
      <w:bookmarkStart w:id="170" w:name="_Toc436757168"/>
      <w:bookmarkStart w:id="171" w:name="_Toc436758107"/>
      <w:r>
        <w:t xml:space="preserve"> </w:t>
      </w:r>
      <w:bookmarkStart w:id="172" w:name="_Toc436915641"/>
      <w:bookmarkStart w:id="173" w:name="_Toc436916080"/>
      <w:r w:rsidRPr="0005062B">
        <w:t>Methods of or Socio-Cultural Valuation</w:t>
      </w:r>
      <w:bookmarkEnd w:id="170"/>
      <w:bookmarkEnd w:id="171"/>
      <w:bookmarkEnd w:id="172"/>
      <w:bookmarkEnd w:id="173"/>
    </w:p>
    <w:p w:rsidR="003F789A" w:rsidRPr="007A7338" w:rsidRDefault="003F789A" w:rsidP="00E644DE">
      <w:pPr>
        <w:keepNext/>
        <w:widowControl w:val="0"/>
      </w:pPr>
    </w:p>
    <w:p w:rsidR="003F789A" w:rsidRPr="008D1372" w:rsidRDefault="003F789A" w:rsidP="00E55058">
      <w:pPr>
        <w:keepNext/>
        <w:widowControl w:val="0"/>
        <w:tabs>
          <w:tab w:val="left" w:pos="880"/>
        </w:tabs>
        <w:spacing w:line="360" w:lineRule="auto"/>
        <w:rPr>
          <w:sz w:val="20"/>
        </w:rPr>
      </w:pPr>
      <w:r w:rsidRPr="0005062B">
        <w:rPr>
          <w:rFonts w:cs="Tahoma"/>
          <w:sz w:val="20"/>
        </w:rPr>
        <w:t xml:space="preserve">SCV is different to economic or ecological valuation because value estimates are interpretations of value rather than necessarily absolutes of value. </w:t>
      </w:r>
      <w:proofErr w:type="spellStart"/>
      <w:r w:rsidRPr="0005062B">
        <w:rPr>
          <w:rFonts w:cs="Tahoma"/>
          <w:sz w:val="20"/>
        </w:rPr>
        <w:t>Chiesura</w:t>
      </w:r>
      <w:proofErr w:type="spellEnd"/>
      <w:r>
        <w:rPr>
          <w:rFonts w:cs="Tahoma"/>
          <w:sz w:val="20"/>
        </w:rPr>
        <w:t xml:space="preserve"> et al</w:t>
      </w:r>
      <w:r w:rsidRPr="0005062B">
        <w:rPr>
          <w:rFonts w:cs="Tahoma"/>
          <w:sz w:val="20"/>
        </w:rPr>
        <w:t xml:space="preserve"> (2003), in her paper on the socio-cultural perspective on natural capital, explains that in the “</w:t>
      </w:r>
      <w:r w:rsidRPr="0005062B">
        <w:rPr>
          <w:rFonts w:cs="AdvP497E2"/>
          <w:sz w:val="20"/>
        </w:rPr>
        <w:t xml:space="preserve">socio-cultural reference system” </w:t>
      </w:r>
      <w:r w:rsidRPr="0005062B">
        <w:rPr>
          <w:rFonts w:cs="AdvTR"/>
          <w:sz w:val="20"/>
        </w:rPr>
        <w:t>v</w:t>
      </w:r>
      <w:r w:rsidRPr="0005062B">
        <w:rPr>
          <w:rFonts w:cs="AdvP497E2"/>
          <w:sz w:val="20"/>
        </w:rPr>
        <w:t>alue is catalogued in terms of “significance, meanings, perceptions and qualitati</w:t>
      </w:r>
      <w:r w:rsidRPr="0005062B">
        <w:rPr>
          <w:rFonts w:cs="AdvTR"/>
          <w:sz w:val="20"/>
        </w:rPr>
        <w:t>v</w:t>
      </w:r>
      <w:r w:rsidRPr="0005062B">
        <w:rPr>
          <w:rFonts w:cs="AdvP497E2"/>
          <w:sz w:val="20"/>
        </w:rPr>
        <w:t xml:space="preserve">e associations”. SCVs can be revealed in a variety of ways, for example as an expression of relative values, spatially by means of mapping, through ranking  or rating values or  through the use of value networks linking different values to different stakeholder groups .  </w:t>
      </w:r>
      <w:r w:rsidRPr="0005062B">
        <w:rPr>
          <w:sz w:val="20"/>
        </w:rPr>
        <w:t>Felipe-Lucia et al (2015) carried out a literature review on the approaches to social valuation (or SCV) in research studies up to 2013. The review demonstrated that there are many approaches and entry points to understanding SCV with no one single approach coming to the fore as a definitively accepted methodology</w:t>
      </w:r>
      <w:r w:rsidRPr="0005062B">
        <w:rPr>
          <w:rStyle w:val="CommentReference"/>
          <w:sz w:val="20"/>
          <w:szCs w:val="22"/>
        </w:rPr>
        <w:t xml:space="preserve">. </w:t>
      </w:r>
    </w:p>
    <w:p w:rsidR="003F789A" w:rsidRPr="008D1372" w:rsidRDefault="003F789A" w:rsidP="008D1372">
      <w:pPr>
        <w:keepNext/>
        <w:widowControl w:val="0"/>
        <w:tabs>
          <w:tab w:val="left" w:pos="880"/>
        </w:tabs>
        <w:spacing w:before="120" w:after="120" w:line="360" w:lineRule="auto"/>
        <w:rPr>
          <w:sz w:val="20"/>
        </w:rPr>
      </w:pPr>
      <w:r w:rsidRPr="008D1372">
        <w:rPr>
          <w:rFonts w:cs="Tahoma"/>
          <w:bCs/>
          <w:sz w:val="20"/>
        </w:rPr>
        <w:t xml:space="preserve">Table 1: Methods used to extrapolate SCV in research studies (after </w:t>
      </w:r>
      <w:r w:rsidRPr="008D1372">
        <w:rPr>
          <w:sz w:val="20"/>
        </w:rPr>
        <w:t>Felipe-Lucia et al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br w:type="page"/>
              <w:t xml:space="preserve"> Method for elicitation of values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Percentage Use in SCV research studies</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Discourse analysis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34.3%</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Likert scale (rating of values)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27.1%</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Ranking / weighting</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22.9%</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Multi-criteria Decision Analysis (MCDA)</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8.6%</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Community mapping</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5.7%</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Outcomes from Workshops and Focus Groups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1.4%</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Sole method used</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 xml:space="preserve">Discourse analysis </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24%</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 xml:space="preserve">Likert scale </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24%</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Ranking/rating</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13%</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Combination of discourse/ranking</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11%</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Level of use of method in all valuations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Interviews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46.8%</w:t>
            </w:r>
          </w:p>
        </w:tc>
      </w:tr>
      <w:tr w:rsidR="003F789A" w:rsidRPr="0005062B" w:rsidTr="00130171">
        <w:tc>
          <w:tcPr>
            <w:tcW w:w="4621" w:type="dxa"/>
          </w:tcPr>
          <w:p w:rsidR="003F789A" w:rsidRPr="007A7338" w:rsidRDefault="003F789A" w:rsidP="00FB13AE">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Workshops/</w:t>
            </w:r>
            <w:r>
              <w:rPr>
                <w:sz w:val="18"/>
                <w:szCs w:val="18"/>
              </w:rPr>
              <w:t>workshops</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29%</w:t>
            </w:r>
          </w:p>
        </w:tc>
      </w:tr>
      <w:tr w:rsidR="003F789A" w:rsidRPr="0005062B" w:rsidTr="00130171">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rPr>
                <w:sz w:val="18"/>
                <w:szCs w:val="18"/>
              </w:rPr>
            </w:pPr>
            <w:r w:rsidRPr="007A7338">
              <w:rPr>
                <w:sz w:val="18"/>
                <w:szCs w:val="18"/>
              </w:rPr>
              <w:t>Surveys (face-to-face)</w:t>
            </w:r>
          </w:p>
        </w:tc>
        <w:tc>
          <w:tcPr>
            <w:tcW w:w="4621" w:type="dxa"/>
          </w:tcPr>
          <w:p w:rsidR="003F789A" w:rsidRPr="007A7338" w:rsidRDefault="003F789A" w:rsidP="00130171">
            <w:pPr>
              <w:keepNext/>
              <w:widowControl w:val="0"/>
              <w:tabs>
                <w:tab w:val="left" w:pos="880"/>
              </w:tabs>
              <w:autoSpaceDE w:val="0"/>
              <w:autoSpaceDN w:val="0"/>
              <w:adjustRightInd w:val="0"/>
              <w:spacing w:after="100" w:afterAutospacing="1" w:line="360" w:lineRule="auto"/>
              <w:jc w:val="center"/>
              <w:rPr>
                <w:sz w:val="18"/>
                <w:szCs w:val="18"/>
              </w:rPr>
            </w:pPr>
            <w:r w:rsidRPr="007A7338">
              <w:rPr>
                <w:sz w:val="18"/>
                <w:szCs w:val="18"/>
              </w:rPr>
              <w:t>22.6%</w:t>
            </w:r>
          </w:p>
        </w:tc>
      </w:tr>
    </w:tbl>
    <w:p w:rsidR="003F789A" w:rsidRDefault="003F789A" w:rsidP="00E55058">
      <w:pPr>
        <w:keepNext/>
        <w:tabs>
          <w:tab w:val="left" w:pos="880"/>
        </w:tabs>
        <w:spacing w:after="0" w:line="360" w:lineRule="auto"/>
        <w:rPr>
          <w:rFonts w:cs="Arial"/>
          <w:sz w:val="20"/>
          <w:lang w:eastAsia="en-IE"/>
        </w:rPr>
      </w:pPr>
    </w:p>
    <w:p w:rsidR="003F789A" w:rsidRPr="0005062B" w:rsidRDefault="003F789A" w:rsidP="00E55058">
      <w:pPr>
        <w:keepNext/>
        <w:tabs>
          <w:tab w:val="left" w:pos="880"/>
        </w:tabs>
        <w:spacing w:after="0" w:line="360" w:lineRule="auto"/>
        <w:rPr>
          <w:rFonts w:cs="Arial"/>
          <w:sz w:val="20"/>
          <w:lang w:eastAsia="en-IE"/>
        </w:rPr>
      </w:pPr>
    </w:p>
    <w:p w:rsidR="003F789A" w:rsidRPr="0005062B" w:rsidRDefault="003F789A" w:rsidP="008D1372">
      <w:pPr>
        <w:pStyle w:val="Heading3"/>
        <w:numPr>
          <w:ilvl w:val="2"/>
          <w:numId w:val="44"/>
        </w:numPr>
        <w:tabs>
          <w:tab w:val="left" w:pos="1134"/>
        </w:tabs>
        <w:ind w:left="1134" w:hanging="1134"/>
        <w:rPr>
          <w:lang w:eastAsia="en-IE"/>
        </w:rPr>
      </w:pPr>
      <w:r>
        <w:rPr>
          <w:lang w:eastAsia="en-IE"/>
        </w:rPr>
        <w:tab/>
      </w:r>
      <w:bookmarkStart w:id="174" w:name="_Toc436757169"/>
      <w:bookmarkStart w:id="175" w:name="_Toc436758108"/>
      <w:bookmarkStart w:id="176" w:name="_Toc436915642"/>
      <w:bookmarkStart w:id="177" w:name="_Toc436916081"/>
      <w:r w:rsidRPr="0005062B">
        <w:rPr>
          <w:lang w:eastAsia="en-IE"/>
        </w:rPr>
        <w:t>The Dublin Exemplar</w:t>
      </w:r>
      <w:bookmarkEnd w:id="174"/>
      <w:bookmarkEnd w:id="175"/>
      <w:bookmarkEnd w:id="176"/>
      <w:bookmarkEnd w:id="177"/>
      <w:r w:rsidRPr="0005062B">
        <w:rPr>
          <w:lang w:eastAsia="en-IE"/>
        </w:rPr>
        <w:t xml:space="preserve"> </w:t>
      </w:r>
    </w:p>
    <w:p w:rsidR="003F789A" w:rsidRPr="008D1372" w:rsidRDefault="003F789A" w:rsidP="00E55058">
      <w:pPr>
        <w:keepNext/>
        <w:tabs>
          <w:tab w:val="left" w:pos="880"/>
        </w:tabs>
        <w:spacing w:line="360" w:lineRule="auto"/>
        <w:rPr>
          <w:b/>
          <w:sz w:val="20"/>
        </w:rPr>
      </w:pPr>
      <w:r w:rsidRPr="008D1372">
        <w:rPr>
          <w:b/>
          <w:sz w:val="20"/>
        </w:rPr>
        <w:t>Context</w:t>
      </w:r>
    </w:p>
    <w:p w:rsidR="003F789A" w:rsidRDefault="003F789A" w:rsidP="00E55058">
      <w:pPr>
        <w:keepNext/>
        <w:tabs>
          <w:tab w:val="left" w:pos="880"/>
        </w:tabs>
        <w:spacing w:line="360" w:lineRule="auto"/>
        <w:rPr>
          <w:sz w:val="20"/>
        </w:rPr>
      </w:pPr>
      <w:r w:rsidRPr="0005062B">
        <w:rPr>
          <w:sz w:val="20"/>
        </w:rPr>
        <w:t xml:space="preserve">The Dublin Exemplar explored the field of SCV as a method to uncover the values that stakeholders attach to the coastal ecosystem in Fingal, north County Dublin. The research addressed the assessment of the socio-cultural values (material and non-material benefits) to establish where and </w:t>
      </w:r>
      <w:r w:rsidRPr="0005062B">
        <w:rPr>
          <w:sz w:val="20"/>
        </w:rPr>
        <w:lastRenderedPageBreak/>
        <w:t xml:space="preserve">how stakeholders value coastal ES. The aim of the research was to explore the merits of the model of assessment </w:t>
      </w:r>
      <w:r w:rsidR="00DB508A">
        <w:rPr>
          <w:sz w:val="20"/>
        </w:rPr>
        <w:t>from two perspectives: (</w:t>
      </w:r>
      <w:proofErr w:type="spellStart"/>
      <w:r w:rsidR="00DB508A">
        <w:rPr>
          <w:sz w:val="20"/>
        </w:rPr>
        <w:t>i</w:t>
      </w:r>
      <w:proofErr w:type="spellEnd"/>
      <w:r w:rsidR="00DB508A">
        <w:rPr>
          <w:sz w:val="20"/>
        </w:rPr>
        <w:t xml:space="preserve">) </w:t>
      </w:r>
      <w:r w:rsidRPr="0005062B">
        <w:rPr>
          <w:sz w:val="20"/>
        </w:rPr>
        <w:t xml:space="preserve">as a means for public consultation </w:t>
      </w:r>
      <w:r w:rsidR="00DB508A">
        <w:rPr>
          <w:sz w:val="20"/>
        </w:rPr>
        <w:t xml:space="preserve">(i.e. Process) </w:t>
      </w:r>
      <w:r w:rsidRPr="0005062B">
        <w:rPr>
          <w:sz w:val="20"/>
        </w:rPr>
        <w:t xml:space="preserve">and </w:t>
      </w:r>
      <w:r w:rsidR="00DB508A">
        <w:rPr>
          <w:sz w:val="20"/>
        </w:rPr>
        <w:t xml:space="preserve">(ii) </w:t>
      </w:r>
      <w:r w:rsidRPr="0005062B">
        <w:rPr>
          <w:sz w:val="20"/>
        </w:rPr>
        <w:t>to assess if the valuation can provide information worthy of consideration within the context of land-use planning</w:t>
      </w:r>
      <w:r w:rsidR="00DB508A">
        <w:rPr>
          <w:sz w:val="20"/>
        </w:rPr>
        <w:t xml:space="preserve"> (i.e. Outputs)</w:t>
      </w:r>
      <w:r w:rsidRPr="0005062B">
        <w:rPr>
          <w:sz w:val="20"/>
        </w:rPr>
        <w:t xml:space="preserve">. A further focus was to engage stakeholders in understanding their relationship with ecosystems and to use this knowledge as a decision framework in a deliberative decision making exercise at a later stage in the research. </w:t>
      </w:r>
    </w:p>
    <w:p w:rsidR="003F789A" w:rsidRPr="0005062B" w:rsidRDefault="003F789A" w:rsidP="00E55058">
      <w:pPr>
        <w:keepNext/>
        <w:tabs>
          <w:tab w:val="left" w:pos="880"/>
        </w:tabs>
        <w:spacing w:line="360" w:lineRule="auto"/>
        <w:rPr>
          <w:sz w:val="20"/>
        </w:rPr>
      </w:pPr>
    </w:p>
    <w:p w:rsidR="003F789A" w:rsidRPr="0005062B" w:rsidRDefault="003F789A" w:rsidP="00E55058">
      <w:pPr>
        <w:keepNext/>
        <w:tabs>
          <w:tab w:val="left" w:pos="880"/>
        </w:tabs>
        <w:spacing w:after="0" w:line="360" w:lineRule="auto"/>
        <w:rPr>
          <w:rFonts w:cs="Arial"/>
          <w:sz w:val="20"/>
          <w:lang w:eastAsia="en-IE"/>
        </w:rPr>
      </w:pPr>
      <w:r w:rsidRPr="0005062B">
        <w:rPr>
          <w:rFonts w:cs="Arial"/>
          <w:sz w:val="20"/>
          <w:lang w:eastAsia="en-IE"/>
        </w:rPr>
        <w:t xml:space="preserve">The Dublin Exemplar tested a method of SCV over two workshops in October 2014 and May 2015 and through follow-up semi-structured interviews in June 2015. The purpose of the work was to engage a group of stakeholders in the ES concept and to use both a deliberative approach and participatory value mapping to draw out socio-cultural values attached </w:t>
      </w:r>
      <w:r>
        <w:rPr>
          <w:rFonts w:cs="Arial"/>
          <w:sz w:val="20"/>
          <w:lang w:eastAsia="en-IE"/>
        </w:rPr>
        <w:t>to</w:t>
      </w:r>
      <w:r w:rsidRPr="0005062B">
        <w:rPr>
          <w:rFonts w:cs="Arial"/>
          <w:sz w:val="20"/>
          <w:lang w:eastAsia="en-IE"/>
        </w:rPr>
        <w:t xml:space="preserve"> the coastline, to identify perceptions of the relative importance of values, and to introduce stakeholders to the connection between their values and ES that underpin them. </w:t>
      </w:r>
    </w:p>
    <w:p w:rsidR="003F789A" w:rsidRPr="0005062B" w:rsidRDefault="003F789A" w:rsidP="00E55058">
      <w:pPr>
        <w:keepNext/>
        <w:tabs>
          <w:tab w:val="left" w:pos="880"/>
        </w:tabs>
        <w:spacing w:after="0" w:line="360" w:lineRule="auto"/>
        <w:rPr>
          <w:rFonts w:cs="Arial"/>
          <w:sz w:val="20"/>
          <w:lang w:eastAsia="en-IE"/>
        </w:rPr>
      </w:pPr>
    </w:p>
    <w:p w:rsidR="003F789A" w:rsidRPr="0005062B" w:rsidRDefault="003F789A" w:rsidP="00E55058">
      <w:pPr>
        <w:keepNext/>
        <w:tabs>
          <w:tab w:val="left" w:pos="880"/>
        </w:tabs>
        <w:spacing w:after="0" w:line="360" w:lineRule="auto"/>
        <w:rPr>
          <w:rFonts w:cs="Arial"/>
          <w:sz w:val="20"/>
          <w:lang w:eastAsia="en-IE"/>
        </w:rPr>
      </w:pPr>
      <w:r w:rsidRPr="0005062B">
        <w:rPr>
          <w:rFonts w:cs="Arial"/>
          <w:sz w:val="20"/>
          <w:lang w:eastAsia="en-IE"/>
        </w:rPr>
        <w:t xml:space="preserve">Taking a lead from TEEB, 2010 and Chan et al, 2012, the research took a values assessment approach to allow participants to reflect on their relationship </w:t>
      </w:r>
      <w:r>
        <w:rPr>
          <w:rFonts w:cs="Arial"/>
          <w:sz w:val="20"/>
          <w:lang w:eastAsia="en-IE"/>
        </w:rPr>
        <w:t xml:space="preserve">with </w:t>
      </w:r>
      <w:r w:rsidRPr="0005062B">
        <w:rPr>
          <w:rFonts w:cs="Arial"/>
          <w:sz w:val="20"/>
          <w:lang w:eastAsia="en-IE"/>
        </w:rPr>
        <w:t xml:space="preserve">nature and to allow the research team to gather different perspectives on what matters to stakeholders. UCD took a pre-structuring approach to value assessment whereby participants were asked to articulate their values against a prepared  list of socio-cultural values adapted from McLain et al, 2013. It combined this with a framing of the research process using the ES conceptualisation through which services provide benefits which are of value to people for different reasons (economic, social-cultural and ecological) (MA, 2005). </w:t>
      </w:r>
      <w:r w:rsidRPr="0005062B">
        <w:rPr>
          <w:rFonts w:cs="Calibri"/>
          <w:sz w:val="20"/>
        </w:rPr>
        <w:t xml:space="preserve">This approach is considered to facilitate an awareness of ES benefits, to raise consciousness about human impacts on the environment and the consequences of decisions from a values perspective (see Haines-Young and </w:t>
      </w:r>
      <w:proofErr w:type="spellStart"/>
      <w:r w:rsidRPr="0005062B">
        <w:rPr>
          <w:rFonts w:cs="Calibri"/>
          <w:sz w:val="20"/>
        </w:rPr>
        <w:t>Potschin</w:t>
      </w:r>
      <w:proofErr w:type="spellEnd"/>
      <w:r w:rsidRPr="0005062B">
        <w:rPr>
          <w:rFonts w:cs="Calibri"/>
          <w:sz w:val="20"/>
        </w:rPr>
        <w:t>, 2014).</w:t>
      </w:r>
      <w:r w:rsidRPr="0005062B">
        <w:rPr>
          <w:rFonts w:cs="Arial"/>
          <w:sz w:val="20"/>
          <w:lang w:eastAsia="en-IE"/>
        </w:rPr>
        <w:t xml:space="preserve"> Value assessment can also provide a platform for the expression of a plurality of individual values,  as well as of shared values which may shed light on issues that are contested (</w:t>
      </w:r>
      <w:proofErr w:type="spellStart"/>
      <w:r w:rsidRPr="0005062B">
        <w:rPr>
          <w:rFonts w:cs="Arial"/>
          <w:sz w:val="20"/>
          <w:lang w:eastAsia="en-IE"/>
        </w:rPr>
        <w:t>Kenter</w:t>
      </w:r>
      <w:proofErr w:type="spellEnd"/>
      <w:r w:rsidRPr="0005062B">
        <w:rPr>
          <w:rFonts w:cs="Arial"/>
          <w:sz w:val="20"/>
          <w:lang w:eastAsia="en-IE"/>
        </w:rPr>
        <w:t xml:space="preserve"> et al, 2014). This information can bring previously unknown perspectives into view (Gould et al, 2014) and can highlight often invisible trade-offs in benefits between stakeholders (Chan et al, 2012)</w:t>
      </w:r>
      <w:r>
        <w:rPr>
          <w:rFonts w:cs="Arial"/>
          <w:sz w:val="20"/>
          <w:lang w:eastAsia="en-IE"/>
        </w:rPr>
        <w:t>.</w:t>
      </w:r>
      <w:r w:rsidRPr="0005062B">
        <w:rPr>
          <w:rFonts w:cs="Arial"/>
          <w:sz w:val="20"/>
          <w:lang w:eastAsia="en-IE"/>
        </w:rPr>
        <w:t xml:space="preserve"> Within a deliberative process social learning occurs whereby participants come to understand the values </w:t>
      </w:r>
      <w:r>
        <w:rPr>
          <w:rFonts w:cs="Arial"/>
          <w:sz w:val="20"/>
          <w:lang w:eastAsia="en-IE"/>
        </w:rPr>
        <w:t>o</w:t>
      </w:r>
      <w:r w:rsidRPr="0005062B">
        <w:rPr>
          <w:rFonts w:cs="Arial"/>
          <w:sz w:val="20"/>
          <w:lang w:eastAsia="en-IE"/>
        </w:rPr>
        <w:t xml:space="preserve">f others. This can also help to divert entrenched positions (Mooney and Tan, 2012). </w:t>
      </w:r>
    </w:p>
    <w:p w:rsidR="003F789A" w:rsidRPr="0005062B" w:rsidRDefault="003F789A" w:rsidP="00E55058">
      <w:pPr>
        <w:keepNext/>
        <w:tabs>
          <w:tab w:val="left" w:pos="880"/>
        </w:tabs>
        <w:spacing w:after="0" w:line="360" w:lineRule="auto"/>
        <w:rPr>
          <w:rFonts w:cs="Arial"/>
          <w:sz w:val="20"/>
          <w:lang w:eastAsia="en-IE"/>
        </w:rPr>
      </w:pPr>
    </w:p>
    <w:p w:rsidR="003F789A" w:rsidRPr="008D1372" w:rsidRDefault="003F789A" w:rsidP="00E55058">
      <w:pPr>
        <w:keepNext/>
        <w:tabs>
          <w:tab w:val="left" w:pos="880"/>
        </w:tabs>
        <w:spacing w:line="360" w:lineRule="auto"/>
        <w:rPr>
          <w:b/>
          <w:sz w:val="20"/>
        </w:rPr>
      </w:pPr>
      <w:r w:rsidRPr="008D1372">
        <w:rPr>
          <w:b/>
          <w:sz w:val="20"/>
        </w:rPr>
        <w:t>Stakeholder selection</w:t>
      </w:r>
    </w:p>
    <w:p w:rsidR="003F789A" w:rsidRPr="0005062B" w:rsidRDefault="003F789A" w:rsidP="00E55058">
      <w:pPr>
        <w:keepNext/>
        <w:tabs>
          <w:tab w:val="left" w:pos="880"/>
        </w:tabs>
        <w:spacing w:line="360" w:lineRule="auto"/>
        <w:rPr>
          <w:sz w:val="20"/>
        </w:rPr>
      </w:pPr>
      <w:r w:rsidRPr="0005062B">
        <w:rPr>
          <w:sz w:val="20"/>
        </w:rPr>
        <w:t xml:space="preserve">The ES framework designed by the MA is as a producer-consumer (service to benefit) anthropological model.  With this in mind the research targeted community and ES users at each of the main coastal villages and towns in Fingal so as to provide a representative sample of (a) locations and (b) a cross section of different demand side benefits from coastal ES. Stakeholders representing 58 different organisations and interests were invited to the first workshop, these included representatives from tourism, education, golf, fishing, local government biodiversity, planning, heritage officers, marine </w:t>
      </w:r>
      <w:r w:rsidRPr="0005062B">
        <w:rPr>
          <w:sz w:val="20"/>
        </w:rPr>
        <w:lastRenderedPageBreak/>
        <w:t xml:space="preserve">tourism, ENGOs, business, fishing/angling, residents associations, heritage groups and local public representatives. Seventeen participants attended the first workshop, including one public representative. The same participants were invited to  the second workshop but only six of the original group returned, although a total of 15 attended. This lack of continuity did </w:t>
      </w:r>
      <w:r w:rsidR="005F747D">
        <w:rPr>
          <w:sz w:val="20"/>
        </w:rPr>
        <w:t xml:space="preserve">not </w:t>
      </w:r>
      <w:r w:rsidRPr="0005062B">
        <w:rPr>
          <w:sz w:val="20"/>
        </w:rPr>
        <w:t xml:space="preserve">present a problem for the research objectives. </w:t>
      </w:r>
    </w:p>
    <w:p w:rsidR="003F789A" w:rsidRDefault="003F789A" w:rsidP="00E55058">
      <w:pPr>
        <w:keepNext/>
        <w:tabs>
          <w:tab w:val="left" w:pos="880"/>
        </w:tabs>
        <w:spacing w:line="360" w:lineRule="auto"/>
        <w:rPr>
          <w:i/>
          <w:sz w:val="20"/>
        </w:rPr>
      </w:pPr>
    </w:p>
    <w:p w:rsidR="003F789A" w:rsidRPr="008D1372" w:rsidRDefault="003F789A" w:rsidP="00E55058">
      <w:pPr>
        <w:keepNext/>
        <w:tabs>
          <w:tab w:val="left" w:pos="880"/>
        </w:tabs>
        <w:spacing w:line="360" w:lineRule="auto"/>
        <w:rPr>
          <w:b/>
          <w:sz w:val="20"/>
        </w:rPr>
      </w:pPr>
      <w:r w:rsidRPr="008D1372">
        <w:rPr>
          <w:b/>
          <w:sz w:val="20"/>
        </w:rPr>
        <w:t>Methodology</w:t>
      </w:r>
    </w:p>
    <w:p w:rsidR="003F789A" w:rsidRDefault="003F789A" w:rsidP="00E55058">
      <w:pPr>
        <w:keepNext/>
        <w:tabs>
          <w:tab w:val="left" w:pos="880"/>
        </w:tabs>
        <w:spacing w:after="0" w:line="360" w:lineRule="auto"/>
        <w:rPr>
          <w:sz w:val="20"/>
        </w:rPr>
      </w:pPr>
      <w:r w:rsidRPr="0005062B">
        <w:rPr>
          <w:sz w:val="20"/>
        </w:rPr>
        <w:t xml:space="preserve">The research was carried out by means of two participatory workshops. The first workshop was assisted by </w:t>
      </w:r>
      <w:proofErr w:type="spellStart"/>
      <w:r w:rsidRPr="0005062B">
        <w:rPr>
          <w:sz w:val="20"/>
        </w:rPr>
        <w:t>Prospex</w:t>
      </w:r>
      <w:proofErr w:type="spellEnd"/>
      <w:r w:rsidRPr="0005062B">
        <w:rPr>
          <w:sz w:val="20"/>
        </w:rPr>
        <w:t>, an OPERAs partner with expertise in facilitation and delivered over two hours. The second workshop in May 2014 was carried out in order to provide feedback on the results of the first valuation exercise and to revisit the valuation ranking undertaken in the preceding workshop to establish if they accurately reflected the values of the stakeholders. Following the workshops semi-structured interviews were conducted with each participant to gather more qualitative information on individual values and feedback on the valuation process and to establish if linkages between ES and values could be identified by interviewees. This combination of methods aimed to provide research data to indicate the relative importance of values, the location of ES value bundles along the coastline along with qualitative data on values arising from the interviews which could then be used for a planned Multi-Criteria Decision Analysis workshop at a later date.</w:t>
      </w:r>
    </w:p>
    <w:p w:rsidR="003F789A" w:rsidRPr="0005062B" w:rsidRDefault="003F789A" w:rsidP="00E55058">
      <w:pPr>
        <w:keepNext/>
        <w:tabs>
          <w:tab w:val="left" w:pos="880"/>
        </w:tabs>
        <w:spacing w:after="0" w:line="360" w:lineRule="auto"/>
        <w:rPr>
          <w:rFonts w:cs="Arial"/>
          <w:sz w:val="20"/>
          <w:lang w:eastAsia="en-IE"/>
        </w:rPr>
      </w:pPr>
    </w:p>
    <w:p w:rsidR="003F789A" w:rsidRPr="008D1372" w:rsidRDefault="003F789A" w:rsidP="00E55058">
      <w:pPr>
        <w:keepNext/>
        <w:widowControl w:val="0"/>
        <w:tabs>
          <w:tab w:val="left" w:pos="880"/>
        </w:tabs>
        <w:spacing w:line="360" w:lineRule="auto"/>
        <w:rPr>
          <w:b/>
          <w:i/>
          <w:sz w:val="20"/>
        </w:rPr>
      </w:pPr>
      <w:r w:rsidRPr="008D1372">
        <w:rPr>
          <w:b/>
          <w:i/>
          <w:sz w:val="20"/>
        </w:rPr>
        <w:t>Workshop 1</w:t>
      </w:r>
    </w:p>
    <w:p w:rsidR="003F789A" w:rsidRDefault="003F789A" w:rsidP="00E55058">
      <w:pPr>
        <w:keepNext/>
        <w:widowControl w:val="0"/>
        <w:tabs>
          <w:tab w:val="left" w:pos="880"/>
        </w:tabs>
        <w:spacing w:line="360" w:lineRule="auto"/>
        <w:rPr>
          <w:sz w:val="20"/>
        </w:rPr>
      </w:pPr>
      <w:r w:rsidRPr="0005062B">
        <w:rPr>
          <w:sz w:val="20"/>
        </w:rPr>
        <w:t>The focus of the first workshop was to introduce participants to the ES concept and to extrapolate values both spatially through participatory mapping of values and in terms of ranking of value</w:t>
      </w:r>
      <w:r>
        <w:rPr>
          <w:sz w:val="20"/>
        </w:rPr>
        <w:t>.</w:t>
      </w:r>
      <w:r w:rsidRPr="0005062B">
        <w:rPr>
          <w:sz w:val="20"/>
        </w:rPr>
        <w:t xml:space="preserve"> The workshop was broken down into four distinct but inter-linked stages.</w:t>
      </w:r>
    </w:p>
    <w:p w:rsidR="003F789A" w:rsidRPr="0005062B" w:rsidRDefault="003F789A" w:rsidP="00E55058">
      <w:pPr>
        <w:keepNext/>
        <w:widowControl w:val="0"/>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Stage 1: Introduction to ES concept</w:t>
      </w:r>
    </w:p>
    <w:p w:rsidR="003F789A" w:rsidRDefault="003F789A" w:rsidP="00E55058">
      <w:pPr>
        <w:keepNext/>
        <w:tabs>
          <w:tab w:val="left" w:pos="880"/>
        </w:tabs>
        <w:spacing w:line="360" w:lineRule="auto"/>
        <w:rPr>
          <w:sz w:val="20"/>
        </w:rPr>
      </w:pPr>
      <w:r w:rsidRPr="0005062B">
        <w:rPr>
          <w:sz w:val="20"/>
        </w:rPr>
        <w:t>The first phase of the workshop comprised a presentation to introduce the participants to the concept of ES</w:t>
      </w:r>
      <w:r>
        <w:rPr>
          <w:sz w:val="20"/>
        </w:rPr>
        <w:t>.</w:t>
      </w:r>
      <w:r w:rsidRPr="0005062B">
        <w:rPr>
          <w:sz w:val="20"/>
        </w:rPr>
        <w:t xml:space="preserve"> A list of indicators was presented to highlight the status of some of the services within the Fingal context in order for stakeholders to relate the ES concept directly to their own local area. Participants demonstrated some cognitive constraints in conceptualising the “services” approach to the environment It can be remarked that the term "environment" can be a catch-all phrase to describe green infrastructure  tourism) or social benefits (e.g. community space/sense of place identity). </w:t>
      </w:r>
    </w:p>
    <w:p w:rsidR="003F789A" w:rsidRPr="0005062B"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Stage 2: Understanding Socio-Cultural Values</w:t>
      </w:r>
    </w:p>
    <w:p w:rsidR="003F789A" w:rsidRPr="0005062B" w:rsidRDefault="003F789A" w:rsidP="00E644DE">
      <w:pPr>
        <w:keepNext/>
        <w:widowControl w:val="0"/>
        <w:spacing w:after="0" w:line="360" w:lineRule="auto"/>
        <w:rPr>
          <w:sz w:val="20"/>
        </w:rPr>
      </w:pPr>
      <w:r w:rsidRPr="0078455E">
        <w:rPr>
          <w:sz w:val="20"/>
        </w:rPr>
        <w:t xml:space="preserve">The second phase of the workshop involved conceptually advancing the concept of Social-Cultural values. Along the Fingal coast most of ES are represented by Cultural Ecosystem Services (CES). To date, CES have often not been the focus of ecosystem assessments because their articulation has been considered difficult due to the heterogeneous and incommensurable nature of the underlying socio-cultural values. CES values are considered as being largely intangible (Chan et al, 2012), yet  </w:t>
      </w:r>
      <w:r w:rsidRPr="0078455E">
        <w:rPr>
          <w:sz w:val="20"/>
        </w:rPr>
        <w:lastRenderedPageBreak/>
        <w:t>socio-cultural values as they apply to CES can also include tangible values. The literature suggests intangible values are more important to people (see West, 2006, Raymond et al,  2009) therefore we introduced a model to disentangle these values so that they could be both understood by the stakeholders and compared as part of the assessment. A typology of CES adapted from a landscape values typology used in a previous study (McLain et al, 2013) was presented. The typology was presented placing CES into two categories (</w:t>
      </w:r>
      <w:proofErr w:type="spellStart"/>
      <w:r w:rsidRPr="0078455E">
        <w:rPr>
          <w:sz w:val="20"/>
        </w:rPr>
        <w:t>i</w:t>
      </w:r>
      <w:proofErr w:type="spellEnd"/>
      <w:r w:rsidRPr="0078455E">
        <w:rPr>
          <w:sz w:val="20"/>
        </w:rPr>
        <w:t xml:space="preserve">) Tangible Values (n=11) linked to the material benefits  or tactile values associated with recreation and wildlife appreciation, and (ii) Intangible/or less tangible values (n=14) linked to the non-material health, spiritual, intrinsic, sense of place, community values (Tables 2, 3). </w:t>
      </w:r>
      <w:r>
        <w:rPr>
          <w:sz w:val="20"/>
        </w:rPr>
        <w:t>To date</w:t>
      </w:r>
      <w:r w:rsidR="005F747D">
        <w:rPr>
          <w:sz w:val="20"/>
        </w:rPr>
        <w:t xml:space="preserve">, </w:t>
      </w:r>
      <w:r w:rsidRPr="0005062B">
        <w:rPr>
          <w:sz w:val="20"/>
        </w:rPr>
        <w:t>tangible values (instrumental or functional) have been given higher regard in assessments (</w:t>
      </w:r>
      <w:proofErr w:type="spellStart"/>
      <w:r w:rsidRPr="0005062B">
        <w:rPr>
          <w:sz w:val="20"/>
        </w:rPr>
        <w:t>Turnpenny</w:t>
      </w:r>
      <w:proofErr w:type="spellEnd"/>
      <w:r w:rsidRPr="0005062B">
        <w:rPr>
          <w:sz w:val="20"/>
        </w:rPr>
        <w:t xml:space="preserve"> et al, 2014). </w:t>
      </w:r>
      <w:r>
        <w:rPr>
          <w:sz w:val="20"/>
        </w:rPr>
        <w:t>Often</w:t>
      </w:r>
      <w:r w:rsidRPr="0005062B">
        <w:rPr>
          <w:sz w:val="20"/>
        </w:rPr>
        <w:t xml:space="preserve">, CES have not been the focus of ecosystem assessments because their articulation has been considered difficult due to the heterogeneous and incommensurable nature of the underlying socio-cultural values  </w:t>
      </w:r>
    </w:p>
    <w:p w:rsidR="005F747D" w:rsidRDefault="005F747D" w:rsidP="00E644DE">
      <w:pPr>
        <w:keepNext/>
        <w:widowControl w:val="0"/>
        <w:tabs>
          <w:tab w:val="left" w:pos="880"/>
        </w:tabs>
        <w:spacing w:line="360" w:lineRule="auto"/>
        <w:rPr>
          <w:sz w:val="20"/>
        </w:rPr>
      </w:pPr>
    </w:p>
    <w:p w:rsidR="003F789A" w:rsidRPr="0005062B" w:rsidRDefault="003F789A" w:rsidP="00E644DE">
      <w:pPr>
        <w:keepNext/>
        <w:widowControl w:val="0"/>
        <w:tabs>
          <w:tab w:val="left" w:pos="880"/>
        </w:tabs>
        <w:spacing w:line="360" w:lineRule="auto"/>
        <w:rPr>
          <w:sz w:val="20"/>
        </w:rPr>
      </w:pPr>
      <w:r w:rsidRPr="0005062B">
        <w:rPr>
          <w:sz w:val="20"/>
        </w:rPr>
        <w:t>The participants were asked: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4"/>
      </w:tblGrid>
      <w:tr w:rsidR="003F789A" w:rsidRPr="0005062B" w:rsidTr="00130171">
        <w:tc>
          <w:tcPr>
            <w:tcW w:w="9240" w:type="dxa"/>
          </w:tcPr>
          <w:p w:rsidR="003F789A" w:rsidRPr="0005062B" w:rsidRDefault="003F789A" w:rsidP="00E644DE">
            <w:pPr>
              <w:keepNext/>
              <w:widowControl w:val="0"/>
              <w:tabs>
                <w:tab w:val="left" w:pos="880"/>
              </w:tabs>
              <w:spacing w:after="0" w:line="360" w:lineRule="auto"/>
              <w:ind w:left="720"/>
              <w:rPr>
                <w:sz w:val="20"/>
              </w:rPr>
            </w:pPr>
            <w:r w:rsidRPr="0005062B">
              <w:rPr>
                <w:sz w:val="20"/>
              </w:rPr>
              <w:t>(</w:t>
            </w:r>
            <w:proofErr w:type="spellStart"/>
            <w:r w:rsidRPr="0005062B">
              <w:rPr>
                <w:sz w:val="20"/>
              </w:rPr>
              <w:t>i</w:t>
            </w:r>
            <w:proofErr w:type="spellEnd"/>
            <w:r w:rsidRPr="0005062B">
              <w:rPr>
                <w:sz w:val="20"/>
              </w:rPr>
              <w:t>)</w:t>
            </w:r>
            <w:r w:rsidRPr="0005062B">
              <w:rPr>
                <w:sz w:val="20"/>
              </w:rPr>
              <w:tab/>
              <w:t>If they recognised any of the values listed</w:t>
            </w:r>
          </w:p>
          <w:p w:rsidR="003F789A" w:rsidRPr="0005062B" w:rsidRDefault="003F789A" w:rsidP="00E644DE">
            <w:pPr>
              <w:keepNext/>
              <w:widowControl w:val="0"/>
              <w:tabs>
                <w:tab w:val="left" w:pos="880"/>
              </w:tabs>
              <w:spacing w:after="0" w:line="360" w:lineRule="auto"/>
              <w:ind w:left="720"/>
              <w:rPr>
                <w:sz w:val="20"/>
              </w:rPr>
            </w:pPr>
            <w:r w:rsidRPr="0005062B">
              <w:rPr>
                <w:sz w:val="20"/>
              </w:rPr>
              <w:t>(ii)</w:t>
            </w:r>
            <w:r w:rsidRPr="0005062B">
              <w:rPr>
                <w:sz w:val="20"/>
              </w:rPr>
              <w:tab/>
              <w:t>Were they something that they could relate to</w:t>
            </w:r>
          </w:p>
          <w:p w:rsidR="003F789A" w:rsidRPr="0005062B" w:rsidRDefault="003F789A" w:rsidP="00E644DE">
            <w:pPr>
              <w:keepNext/>
              <w:widowControl w:val="0"/>
              <w:tabs>
                <w:tab w:val="left" w:pos="880"/>
              </w:tabs>
              <w:spacing w:after="0" w:line="360" w:lineRule="auto"/>
              <w:rPr>
                <w:sz w:val="20"/>
              </w:rPr>
            </w:pPr>
            <w:r>
              <w:rPr>
                <w:sz w:val="20"/>
              </w:rPr>
              <w:t xml:space="preserve">            </w:t>
            </w:r>
            <w:r w:rsidRPr="0005062B">
              <w:rPr>
                <w:sz w:val="20"/>
              </w:rPr>
              <w:t>(iii)</w:t>
            </w:r>
            <w:r w:rsidRPr="0005062B">
              <w:rPr>
                <w:sz w:val="20"/>
              </w:rPr>
              <w:tab/>
              <w:t>Where might they expect to see these or experience them along the Fingal coast</w:t>
            </w:r>
            <w:r>
              <w:rPr>
                <w:sz w:val="20"/>
              </w:rPr>
              <w:t>l</w:t>
            </w:r>
            <w:r w:rsidRPr="0005062B">
              <w:rPr>
                <w:sz w:val="20"/>
              </w:rPr>
              <w:t>ine.</w:t>
            </w:r>
          </w:p>
        </w:tc>
      </w:tr>
    </w:tbl>
    <w:p w:rsidR="003F789A" w:rsidRPr="0005062B" w:rsidRDefault="003F789A" w:rsidP="00E644DE">
      <w:pPr>
        <w:keepNext/>
        <w:widowControl w:val="0"/>
        <w:tabs>
          <w:tab w:val="left" w:pos="880"/>
        </w:tabs>
        <w:spacing w:line="360" w:lineRule="auto"/>
        <w:jc w:val="center"/>
        <w:rPr>
          <w:sz w:val="20"/>
        </w:rPr>
      </w:pPr>
    </w:p>
    <w:p w:rsidR="003F789A" w:rsidRPr="0005062B" w:rsidRDefault="003F789A" w:rsidP="00E55058">
      <w:pPr>
        <w:keepNext/>
        <w:tabs>
          <w:tab w:val="left" w:pos="880"/>
        </w:tabs>
        <w:spacing w:line="360" w:lineRule="auto"/>
        <w:rPr>
          <w:sz w:val="20"/>
        </w:rPr>
      </w:pPr>
      <w:r w:rsidRPr="0005062B">
        <w:rPr>
          <w:sz w:val="20"/>
        </w:rPr>
        <w:t xml:space="preserve">The floor was then opened up for discussion to allow participants to describe their perception of ES in their own words. Participants agreed that they could connect with the concept of CES and describes how and where they might have encountered CES benefits along the Fingal coastline through recreational experience, aesthetic appreciation and experience of wildlife. The discussion about the availability of ES in the Fingal setting demonstrated that value assessment can reveal “webs of values” as discussed in the literature (Chan et al, 2012).  </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 xml:space="preserve">Box 1: Participants’ cognitive understanding of the range of CES Values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6"/>
        <w:gridCol w:w="3766"/>
      </w:tblGrid>
      <w:tr w:rsidR="003F789A" w:rsidRPr="0005062B" w:rsidTr="0014256C">
        <w:trPr>
          <w:trHeight w:val="699"/>
        </w:trPr>
        <w:tc>
          <w:tcPr>
            <w:tcW w:w="5476" w:type="dxa"/>
          </w:tcPr>
          <w:p w:rsidR="003F789A" w:rsidRPr="007A7338" w:rsidRDefault="003F789A" w:rsidP="00130171">
            <w:pPr>
              <w:pStyle w:val="ListParagraph"/>
              <w:keepNext/>
              <w:tabs>
                <w:tab w:val="left" w:pos="880"/>
              </w:tabs>
              <w:rPr>
                <w:rFonts w:ascii="Arial" w:hAnsi="Arial"/>
                <w:sz w:val="18"/>
                <w:szCs w:val="18"/>
              </w:rPr>
            </w:pPr>
          </w:p>
          <w:p w:rsidR="003F789A" w:rsidRPr="007A7338" w:rsidRDefault="003F789A" w:rsidP="008D1372">
            <w:pPr>
              <w:pStyle w:val="ListParagraph"/>
              <w:keepNext/>
              <w:tabs>
                <w:tab w:val="left" w:pos="567"/>
              </w:tabs>
              <w:ind w:left="567"/>
              <w:rPr>
                <w:rFonts w:ascii="Arial" w:hAnsi="Arial"/>
                <w:b/>
                <w:sz w:val="18"/>
                <w:szCs w:val="18"/>
              </w:rPr>
            </w:pPr>
            <w:r w:rsidRPr="007A7338">
              <w:rPr>
                <w:rFonts w:ascii="Arial" w:hAnsi="Arial"/>
                <w:b/>
                <w:sz w:val="18"/>
                <w:szCs w:val="18"/>
              </w:rPr>
              <w:t>Tangible</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“Walking – uplifting, views, dog owners, paths”</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“Coast/environment – exists for others”</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“Wildlife, seals”</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 xml:space="preserve">“Fishing – economics” </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“Attracting visitors – tourism”</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 xml:space="preserve">“Swimming” </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 xml:space="preserve">“Wildlife” </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“Sailing – economics, tourism”</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w:t>
            </w:r>
            <w:proofErr w:type="spellStart"/>
            <w:r w:rsidRPr="007A7338">
              <w:rPr>
                <w:rFonts w:ascii="Arial" w:hAnsi="Arial"/>
                <w:sz w:val="18"/>
                <w:szCs w:val="18"/>
              </w:rPr>
              <w:t>Harbours</w:t>
            </w:r>
            <w:proofErr w:type="spellEnd"/>
            <w:r w:rsidRPr="007A7338">
              <w:rPr>
                <w:rFonts w:ascii="Arial" w:hAnsi="Arial"/>
                <w:sz w:val="18"/>
                <w:szCs w:val="18"/>
              </w:rPr>
              <w:t xml:space="preserve"> – for walking, wildlife, seals/birds”</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“Sea angling”</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“Horse riding experience”</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lastRenderedPageBreak/>
              <w:t>“Birdwatching”</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“Biodiversity”</w:t>
            </w:r>
          </w:p>
          <w:p w:rsidR="003F789A" w:rsidRPr="007A7338" w:rsidRDefault="003F789A" w:rsidP="0032165B">
            <w:pPr>
              <w:pStyle w:val="ListParagraph"/>
              <w:keepNext/>
              <w:numPr>
                <w:ilvl w:val="0"/>
                <w:numId w:val="28"/>
              </w:numPr>
              <w:tabs>
                <w:tab w:val="left" w:pos="550"/>
              </w:tabs>
              <w:ind w:left="550" w:hanging="440"/>
              <w:rPr>
                <w:rFonts w:ascii="Arial" w:hAnsi="Arial"/>
                <w:sz w:val="18"/>
                <w:szCs w:val="18"/>
              </w:rPr>
            </w:pPr>
            <w:r w:rsidRPr="007A7338">
              <w:rPr>
                <w:rFonts w:ascii="Arial" w:hAnsi="Arial"/>
                <w:sz w:val="18"/>
                <w:szCs w:val="18"/>
              </w:rPr>
              <w:t>“Designations – planning”</w:t>
            </w:r>
          </w:p>
        </w:tc>
        <w:tc>
          <w:tcPr>
            <w:tcW w:w="3766" w:type="dxa"/>
          </w:tcPr>
          <w:p w:rsidR="003F789A" w:rsidRPr="007A7338" w:rsidRDefault="003F789A" w:rsidP="00130171">
            <w:pPr>
              <w:pStyle w:val="ListParagraph"/>
              <w:keepNext/>
              <w:tabs>
                <w:tab w:val="left" w:pos="880"/>
              </w:tabs>
              <w:rPr>
                <w:rFonts w:ascii="Arial" w:hAnsi="Arial"/>
                <w:sz w:val="18"/>
                <w:szCs w:val="18"/>
              </w:rPr>
            </w:pPr>
          </w:p>
          <w:p w:rsidR="003F789A" w:rsidRPr="007A7338" w:rsidRDefault="003F789A" w:rsidP="008D1372">
            <w:pPr>
              <w:pStyle w:val="ListParagraph"/>
              <w:keepNext/>
              <w:tabs>
                <w:tab w:val="left" w:pos="336"/>
              </w:tabs>
              <w:ind w:left="336"/>
              <w:rPr>
                <w:rFonts w:ascii="Arial" w:hAnsi="Arial"/>
                <w:b/>
                <w:sz w:val="18"/>
                <w:szCs w:val="18"/>
              </w:rPr>
            </w:pPr>
            <w:r w:rsidRPr="007A7338">
              <w:rPr>
                <w:rFonts w:ascii="Arial" w:hAnsi="Arial"/>
                <w:b/>
                <w:sz w:val="18"/>
                <w:szCs w:val="18"/>
              </w:rPr>
              <w:t>Less Tangible</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“Empty rugged landscape (coast)”</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“Community”</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“Healthy and uplifting”</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 xml:space="preserve">“Most heritage properties along the coast (St. </w:t>
            </w:r>
            <w:proofErr w:type="spellStart"/>
            <w:r w:rsidRPr="007A7338">
              <w:rPr>
                <w:rFonts w:ascii="Arial" w:hAnsi="Arial"/>
                <w:sz w:val="18"/>
                <w:szCs w:val="18"/>
              </w:rPr>
              <w:t>Ita’s</w:t>
            </w:r>
            <w:proofErr w:type="spellEnd"/>
            <w:r w:rsidRPr="007A7338">
              <w:rPr>
                <w:rFonts w:ascii="Arial" w:hAnsi="Arial"/>
                <w:sz w:val="18"/>
                <w:szCs w:val="18"/>
              </w:rPr>
              <w:t xml:space="preserve"> </w:t>
            </w:r>
            <w:proofErr w:type="spellStart"/>
            <w:r w:rsidRPr="007A7338">
              <w:rPr>
                <w:rFonts w:ascii="Arial" w:hAnsi="Arial"/>
                <w:sz w:val="18"/>
                <w:szCs w:val="18"/>
              </w:rPr>
              <w:t>Portrane</w:t>
            </w:r>
            <w:proofErr w:type="spellEnd"/>
            <w:r w:rsidRPr="007A7338">
              <w:rPr>
                <w:rFonts w:ascii="Arial" w:hAnsi="Arial"/>
                <w:sz w:val="18"/>
                <w:szCs w:val="18"/>
              </w:rPr>
              <w:t>)”</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“Spiritual – at night time, to be able to see the islands”</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“Learning”</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“Knowledge”</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“Broad views”</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t>“Beach – empty and wild”</w:t>
            </w:r>
          </w:p>
          <w:p w:rsidR="003F789A" w:rsidRPr="007A7338" w:rsidRDefault="003F789A" w:rsidP="0032165B">
            <w:pPr>
              <w:pStyle w:val="ListParagraph"/>
              <w:keepNext/>
              <w:numPr>
                <w:ilvl w:val="0"/>
                <w:numId w:val="29"/>
              </w:numPr>
              <w:tabs>
                <w:tab w:val="left" w:pos="354"/>
              </w:tabs>
              <w:ind w:left="354" w:hanging="330"/>
              <w:rPr>
                <w:rFonts w:ascii="Arial" w:hAnsi="Arial"/>
                <w:sz w:val="18"/>
                <w:szCs w:val="18"/>
              </w:rPr>
            </w:pPr>
            <w:r w:rsidRPr="007A7338">
              <w:rPr>
                <w:rFonts w:ascii="Arial" w:hAnsi="Arial"/>
                <w:sz w:val="18"/>
                <w:szCs w:val="18"/>
              </w:rPr>
              <w:lastRenderedPageBreak/>
              <w:t>“Health – physical and psychological – the value attached to health”</w:t>
            </w:r>
          </w:p>
        </w:tc>
      </w:tr>
    </w:tbl>
    <w:p w:rsidR="003F789A" w:rsidRPr="0005062B" w:rsidDel="000646AE" w:rsidRDefault="003F789A" w:rsidP="00E55058">
      <w:pPr>
        <w:keepNext/>
        <w:tabs>
          <w:tab w:val="left" w:pos="880"/>
        </w:tabs>
        <w:spacing w:line="360" w:lineRule="auto"/>
        <w:jc w:val="center"/>
        <w:rPr>
          <w:sz w:val="20"/>
        </w:rPr>
      </w:pPr>
    </w:p>
    <w:p w:rsidR="003F789A" w:rsidRPr="0005062B" w:rsidRDefault="003F789A" w:rsidP="00E55058">
      <w:pPr>
        <w:keepNext/>
        <w:tabs>
          <w:tab w:val="left" w:pos="880"/>
        </w:tabs>
        <w:spacing w:line="360" w:lineRule="auto"/>
        <w:rPr>
          <w:sz w:val="20"/>
        </w:rPr>
      </w:pPr>
      <w:r w:rsidRPr="0005062B">
        <w:rPr>
          <w:sz w:val="20"/>
        </w:rPr>
        <w:t>Stage 3: Mapping of Values</w:t>
      </w:r>
    </w:p>
    <w:p w:rsidR="003F789A" w:rsidRDefault="003F789A" w:rsidP="00E55058">
      <w:pPr>
        <w:keepNext/>
        <w:tabs>
          <w:tab w:val="left" w:pos="880"/>
        </w:tabs>
        <w:spacing w:line="360" w:lineRule="auto"/>
        <w:rPr>
          <w:sz w:val="20"/>
        </w:rPr>
      </w:pPr>
      <w:r w:rsidRPr="0005062B">
        <w:rPr>
          <w:sz w:val="20"/>
        </w:rPr>
        <w:t>The third phase of the workshop used a participatory value mapping method to identify values. Participatory mapping can allow stakeholders to connect their values directly with the landscape</w:t>
      </w:r>
      <w:r>
        <w:rPr>
          <w:sz w:val="20"/>
        </w:rPr>
        <w:t>.</w:t>
      </w:r>
      <w:r w:rsidRPr="0005062B">
        <w:rPr>
          <w:sz w:val="20"/>
        </w:rPr>
        <w:t xml:space="preserve"> At</w:t>
      </w:r>
      <w:r>
        <w:rPr>
          <w:sz w:val="20"/>
        </w:rPr>
        <w:t xml:space="preserve"> </w:t>
      </w:r>
      <w:r w:rsidRPr="0005062B">
        <w:rPr>
          <w:sz w:val="20"/>
        </w:rPr>
        <w:t>the same time, it enables the production of information about value bundles and possible conflicts between value demands and land use or management in a given location (Raymond et al 2014, McLain et al 2013). Value maps can therefore complement biophysical maps and mesh together relevant socio-cultural and socio-ecological information with biophysical and land use data. During this exercise stakeholders were organised in cluster groups around four tables representing seven coastal settlements each containing one</w:t>
      </w:r>
      <w:r w:rsidRPr="0005062B">
        <w:rPr>
          <w:bCs/>
          <w:sz w:val="20"/>
        </w:rPr>
        <w:t xml:space="preserve"> map of a coastal settlement area. </w:t>
      </w:r>
      <w:r w:rsidRPr="0005062B">
        <w:rPr>
          <w:sz w:val="20"/>
        </w:rPr>
        <w:t>Participants were given three questions to consider and asked to mark the specific locations of different values according to a handout of CES provided to each individual.  Each participant was asked to identify where they (a) experienced (personal values) and/</w:t>
      </w:r>
      <w:r w:rsidRPr="0005062B">
        <w:rPr>
          <w:bCs/>
          <w:sz w:val="20"/>
        </w:rPr>
        <w:t xml:space="preserve">or (b) knew where Cultural Values existed </w:t>
      </w:r>
      <w:r w:rsidRPr="0005062B">
        <w:rPr>
          <w:sz w:val="20"/>
        </w:rPr>
        <w:t xml:space="preserve">in their own locality (shared values). </w:t>
      </w:r>
    </w:p>
    <w:p w:rsidR="003F789A" w:rsidRPr="0005062B" w:rsidRDefault="003F789A" w:rsidP="00E55058">
      <w:pPr>
        <w:keepNext/>
        <w:tabs>
          <w:tab w:val="left" w:pos="880"/>
        </w:tabs>
        <w:spacing w:line="360" w:lineRule="auto"/>
        <w:rPr>
          <w:sz w:val="20"/>
        </w:rPr>
      </w:pPr>
    </w:p>
    <w:p w:rsidR="003F789A" w:rsidRPr="007A7338" w:rsidRDefault="003F789A" w:rsidP="00E55058">
      <w:pPr>
        <w:keepNext/>
        <w:tabs>
          <w:tab w:val="left" w:pos="880"/>
        </w:tabs>
        <w:spacing w:line="360" w:lineRule="auto"/>
        <w:rPr>
          <w:sz w:val="18"/>
          <w:szCs w:val="18"/>
        </w:rPr>
      </w:pPr>
      <w:r w:rsidRPr="007A7338">
        <w:rPr>
          <w:sz w:val="18"/>
          <w:szCs w:val="18"/>
        </w:rPr>
        <w:t>Box 2: Values articulation prompt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4"/>
      </w:tblGrid>
      <w:tr w:rsidR="003F789A" w:rsidRPr="0005062B" w:rsidTr="00130171">
        <w:tc>
          <w:tcPr>
            <w:tcW w:w="9134" w:type="dxa"/>
          </w:tcPr>
          <w:p w:rsidR="003F789A" w:rsidRPr="007A7338" w:rsidRDefault="003F789A" w:rsidP="00130171">
            <w:pPr>
              <w:keepNext/>
              <w:tabs>
                <w:tab w:val="left" w:pos="880"/>
              </w:tabs>
              <w:spacing w:after="0" w:line="360" w:lineRule="auto"/>
              <w:ind w:left="720"/>
              <w:rPr>
                <w:sz w:val="18"/>
                <w:szCs w:val="18"/>
              </w:rPr>
            </w:pPr>
            <w:r w:rsidRPr="0005062B">
              <w:rPr>
                <w:sz w:val="20"/>
              </w:rPr>
              <w:br w:type="page"/>
            </w:r>
            <w:r w:rsidRPr="0005062B">
              <w:rPr>
                <w:sz w:val="20"/>
              </w:rPr>
              <w:br w:type="page"/>
            </w:r>
            <w:r w:rsidRPr="007A7338">
              <w:rPr>
                <w:sz w:val="18"/>
                <w:szCs w:val="18"/>
              </w:rPr>
              <w:t xml:space="preserve"> </w:t>
            </w:r>
            <w:r w:rsidRPr="007A7338">
              <w:rPr>
                <w:sz w:val="18"/>
                <w:szCs w:val="18"/>
              </w:rPr>
              <w:br w:type="page"/>
            </w:r>
          </w:p>
          <w:p w:rsidR="003F789A" w:rsidRPr="007A7338" w:rsidRDefault="003F789A" w:rsidP="0032165B">
            <w:pPr>
              <w:keepNext/>
              <w:numPr>
                <w:ilvl w:val="0"/>
                <w:numId w:val="26"/>
              </w:numPr>
              <w:tabs>
                <w:tab w:val="left" w:pos="880"/>
              </w:tabs>
              <w:suppressAutoHyphens w:val="0"/>
              <w:spacing w:after="0" w:line="360" w:lineRule="auto"/>
              <w:rPr>
                <w:sz w:val="18"/>
                <w:szCs w:val="18"/>
              </w:rPr>
            </w:pPr>
            <w:r w:rsidRPr="007A7338">
              <w:rPr>
                <w:iCs/>
                <w:sz w:val="18"/>
                <w:szCs w:val="18"/>
              </w:rPr>
              <w:t>What</w:t>
            </w:r>
            <w:r w:rsidRPr="007A7338">
              <w:rPr>
                <w:sz w:val="18"/>
                <w:szCs w:val="18"/>
              </w:rPr>
              <w:t xml:space="preserve"> natural environment or ES do you value – believe to be important –?</w:t>
            </w:r>
          </w:p>
          <w:p w:rsidR="003F789A" w:rsidRPr="007A7338" w:rsidRDefault="003F789A" w:rsidP="0032165B">
            <w:pPr>
              <w:keepNext/>
              <w:numPr>
                <w:ilvl w:val="0"/>
                <w:numId w:val="26"/>
              </w:numPr>
              <w:tabs>
                <w:tab w:val="left" w:pos="880"/>
              </w:tabs>
              <w:suppressAutoHyphens w:val="0"/>
              <w:spacing w:after="0" w:line="360" w:lineRule="auto"/>
              <w:rPr>
                <w:sz w:val="18"/>
                <w:szCs w:val="18"/>
              </w:rPr>
            </w:pPr>
            <w:r w:rsidRPr="007A7338">
              <w:rPr>
                <w:iCs/>
                <w:sz w:val="18"/>
                <w:szCs w:val="18"/>
              </w:rPr>
              <w:t>Where</w:t>
            </w:r>
            <w:r w:rsidRPr="007A7338">
              <w:rPr>
                <w:sz w:val="18"/>
                <w:szCs w:val="18"/>
              </w:rPr>
              <w:t xml:space="preserve"> you believe they are located?</w:t>
            </w:r>
          </w:p>
          <w:p w:rsidR="003F789A" w:rsidRPr="007A7338" w:rsidRDefault="003F789A" w:rsidP="0032165B">
            <w:pPr>
              <w:keepNext/>
              <w:numPr>
                <w:ilvl w:val="0"/>
                <w:numId w:val="26"/>
              </w:numPr>
              <w:tabs>
                <w:tab w:val="left" w:pos="880"/>
              </w:tabs>
              <w:suppressAutoHyphens w:val="0"/>
              <w:spacing w:after="0" w:line="360" w:lineRule="auto"/>
              <w:rPr>
                <w:sz w:val="18"/>
                <w:szCs w:val="18"/>
              </w:rPr>
            </w:pPr>
            <w:r w:rsidRPr="007A7338">
              <w:rPr>
                <w:iCs/>
                <w:sz w:val="18"/>
                <w:szCs w:val="18"/>
              </w:rPr>
              <w:t>Why</w:t>
            </w:r>
            <w:r w:rsidRPr="007A7338">
              <w:rPr>
                <w:sz w:val="18"/>
                <w:szCs w:val="18"/>
              </w:rPr>
              <w:t xml:space="preserve"> you think these are of value:</w:t>
            </w:r>
          </w:p>
          <w:p w:rsidR="003F789A" w:rsidRPr="007A7338" w:rsidRDefault="003F789A" w:rsidP="0032165B">
            <w:pPr>
              <w:keepNext/>
              <w:numPr>
                <w:ilvl w:val="1"/>
                <w:numId w:val="26"/>
              </w:numPr>
              <w:tabs>
                <w:tab w:val="left" w:pos="880"/>
              </w:tabs>
              <w:suppressAutoHyphens w:val="0"/>
              <w:spacing w:after="0" w:line="360" w:lineRule="auto"/>
              <w:jc w:val="left"/>
              <w:rPr>
                <w:sz w:val="18"/>
                <w:szCs w:val="18"/>
              </w:rPr>
            </w:pPr>
            <w:r w:rsidRPr="007A7338">
              <w:rPr>
                <w:sz w:val="18"/>
                <w:szCs w:val="18"/>
              </w:rPr>
              <w:t xml:space="preserve">To you personally, to the community or in your capacity as a representative/stakeholder. </w:t>
            </w:r>
          </w:p>
          <w:p w:rsidR="003F789A" w:rsidRPr="007A7338" w:rsidRDefault="003F789A" w:rsidP="00130171">
            <w:pPr>
              <w:keepNext/>
              <w:tabs>
                <w:tab w:val="left" w:pos="880"/>
              </w:tabs>
              <w:spacing w:after="0" w:line="360" w:lineRule="auto"/>
              <w:ind w:left="1440"/>
              <w:rPr>
                <w:sz w:val="18"/>
                <w:szCs w:val="18"/>
              </w:rPr>
            </w:pPr>
          </w:p>
          <w:p w:rsidR="003F789A" w:rsidRPr="007A7338" w:rsidRDefault="003F789A" w:rsidP="00130171">
            <w:pPr>
              <w:keepNext/>
              <w:tabs>
                <w:tab w:val="left" w:pos="880"/>
              </w:tabs>
              <w:spacing w:after="0" w:line="360" w:lineRule="auto"/>
              <w:rPr>
                <w:sz w:val="18"/>
                <w:szCs w:val="18"/>
              </w:rPr>
            </w:pPr>
            <w:r w:rsidRPr="007A7338">
              <w:rPr>
                <w:bCs/>
                <w:sz w:val="18"/>
                <w:szCs w:val="18"/>
              </w:rPr>
              <w:t>Objective</w:t>
            </w:r>
            <w:r w:rsidRPr="007A7338">
              <w:rPr>
                <w:sz w:val="18"/>
                <w:szCs w:val="18"/>
              </w:rPr>
              <w:t xml:space="preserve">:  To provide information for future spatial planning and for the management of the environment. </w:t>
            </w:r>
          </w:p>
          <w:p w:rsidR="003F789A" w:rsidRPr="007A7338" w:rsidRDefault="003F789A" w:rsidP="0032165B">
            <w:pPr>
              <w:keepNext/>
              <w:numPr>
                <w:ilvl w:val="1"/>
                <w:numId w:val="27"/>
              </w:numPr>
              <w:tabs>
                <w:tab w:val="left" w:pos="880"/>
              </w:tabs>
              <w:suppressAutoHyphens w:val="0"/>
              <w:spacing w:after="0" w:line="360" w:lineRule="auto"/>
              <w:rPr>
                <w:sz w:val="18"/>
                <w:szCs w:val="18"/>
              </w:rPr>
            </w:pPr>
            <w:r w:rsidRPr="007A7338">
              <w:rPr>
                <w:sz w:val="18"/>
                <w:szCs w:val="18"/>
              </w:rPr>
              <w:t>By understanding what people value most about the Fingal coast</w:t>
            </w:r>
          </w:p>
          <w:p w:rsidR="003F789A" w:rsidRPr="007A7338" w:rsidRDefault="003F789A" w:rsidP="0032165B">
            <w:pPr>
              <w:keepNext/>
              <w:numPr>
                <w:ilvl w:val="1"/>
                <w:numId w:val="27"/>
              </w:numPr>
              <w:tabs>
                <w:tab w:val="left" w:pos="880"/>
              </w:tabs>
              <w:suppressAutoHyphens w:val="0"/>
              <w:spacing w:after="0" w:line="360" w:lineRule="auto"/>
              <w:rPr>
                <w:sz w:val="18"/>
                <w:szCs w:val="18"/>
              </w:rPr>
            </w:pPr>
            <w:r w:rsidRPr="007A7338">
              <w:rPr>
                <w:sz w:val="18"/>
                <w:szCs w:val="18"/>
              </w:rPr>
              <w:t>By mapping and measuring changes in these values over time.</w:t>
            </w:r>
          </w:p>
          <w:p w:rsidR="003F789A" w:rsidRPr="0005062B" w:rsidRDefault="003F789A" w:rsidP="00130171">
            <w:pPr>
              <w:keepNext/>
              <w:tabs>
                <w:tab w:val="left" w:pos="880"/>
              </w:tabs>
              <w:spacing w:after="0" w:line="360" w:lineRule="auto"/>
              <w:rPr>
                <w:sz w:val="20"/>
              </w:rPr>
            </w:pPr>
          </w:p>
        </w:tc>
      </w:tr>
    </w:tbl>
    <w:p w:rsidR="003F789A" w:rsidRPr="0005062B" w:rsidRDefault="003F789A" w:rsidP="00E55058">
      <w:pPr>
        <w:keepNext/>
        <w:tabs>
          <w:tab w:val="left" w:pos="880"/>
        </w:tabs>
        <w:spacing w:line="360" w:lineRule="auto"/>
        <w:rPr>
          <w:bCs/>
          <w:sz w:val="20"/>
        </w:rPr>
      </w:pPr>
    </w:p>
    <w:p w:rsidR="003F789A" w:rsidRDefault="003F789A" w:rsidP="00E55058">
      <w:pPr>
        <w:keepNext/>
        <w:tabs>
          <w:tab w:val="left" w:pos="880"/>
        </w:tabs>
        <w:spacing w:line="360" w:lineRule="auto"/>
        <w:rPr>
          <w:bCs/>
          <w:sz w:val="20"/>
        </w:rPr>
      </w:pPr>
      <w:r w:rsidRPr="0005062B">
        <w:rPr>
          <w:bCs/>
          <w:sz w:val="20"/>
        </w:rPr>
        <w:t>They were guided to use the legend on the CES typology and to match coded values to each line that they drew on the map so the different values could be clearly seen at each location. The participants were advised that they could place any number of ES values at any given location (i.e. value bundles)</w:t>
      </w:r>
      <w:r>
        <w:rPr>
          <w:bCs/>
          <w:sz w:val="20"/>
        </w:rPr>
        <w:t>.</w:t>
      </w:r>
      <w:r w:rsidRPr="0005062B">
        <w:rPr>
          <w:bCs/>
          <w:sz w:val="20"/>
        </w:rPr>
        <w:t xml:space="preserve"> The results of this exercise demonstrated that the participants were very familiar with the different qualities and values of their allotted map and were able to freely identify a range of values for each map area. What can be clearly seen from the maps is that the Fingal coastline is characterised by a rich range of socio-cultural values. It is was evident that there are places in Fingal that have a wider range of values than others, i.e. sites with bundled values or ‘value hotspots’ (</w:t>
      </w:r>
      <w:proofErr w:type="spellStart"/>
      <w:r w:rsidRPr="0005062B">
        <w:rPr>
          <w:rFonts w:cs="Segoe UI"/>
          <w:sz w:val="20"/>
        </w:rPr>
        <w:t>Plieninger</w:t>
      </w:r>
      <w:proofErr w:type="spellEnd"/>
      <w:r w:rsidRPr="0005062B">
        <w:rPr>
          <w:bCs/>
          <w:sz w:val="20"/>
        </w:rPr>
        <w:t xml:space="preserve"> et al, 2014). With this in mind</w:t>
      </w:r>
      <w:r>
        <w:rPr>
          <w:bCs/>
          <w:sz w:val="20"/>
        </w:rPr>
        <w:t>,</w:t>
      </w:r>
      <w:r w:rsidRPr="0005062B">
        <w:rPr>
          <w:bCs/>
          <w:sz w:val="20"/>
        </w:rPr>
        <w:t xml:space="preserve"> the map markings were subsequently digitized that the research team could </w:t>
      </w:r>
      <w:r w:rsidRPr="0005062B">
        <w:rPr>
          <w:bCs/>
          <w:sz w:val="20"/>
        </w:rPr>
        <w:lastRenderedPageBreak/>
        <w:t xml:space="preserve">combine this values data with biophysical data at later date for presentation at the second workshop and during a Multi-Criteria Decision Analysis workshop planned for 2016. </w:t>
      </w:r>
    </w:p>
    <w:p w:rsidR="003F789A" w:rsidRPr="0005062B" w:rsidRDefault="003F789A" w:rsidP="00E55058">
      <w:pPr>
        <w:keepNext/>
        <w:tabs>
          <w:tab w:val="left" w:pos="880"/>
        </w:tabs>
        <w:spacing w:line="360" w:lineRule="auto"/>
        <w:rPr>
          <w:bCs/>
          <w:sz w:val="20"/>
        </w:rPr>
      </w:pPr>
    </w:p>
    <w:p w:rsidR="003F789A" w:rsidRPr="0005062B" w:rsidRDefault="003F789A" w:rsidP="00E55058">
      <w:pPr>
        <w:keepNext/>
        <w:tabs>
          <w:tab w:val="left" w:pos="880"/>
        </w:tabs>
        <w:spacing w:line="360" w:lineRule="auto"/>
        <w:rPr>
          <w:bCs/>
          <w:sz w:val="20"/>
        </w:rPr>
      </w:pPr>
      <w:r w:rsidRPr="0005062B">
        <w:rPr>
          <w:bCs/>
          <w:sz w:val="20"/>
        </w:rPr>
        <w:t xml:space="preserve">At the end of the mapping exercise each group was asked to nominate a speaker to summarise the range of CES that were identified on each map. This provided an opportunity for sharing the value characteristics of each location and space to reflect on the particular places of value and why they were valued by each group. In addition it brought home to participants the myriad of values available along the coastline. </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Stage 4: Ranking of values</w:t>
      </w:r>
    </w:p>
    <w:p w:rsidR="003F789A" w:rsidRDefault="003F789A" w:rsidP="00E55058">
      <w:pPr>
        <w:keepNext/>
        <w:tabs>
          <w:tab w:val="left" w:pos="880"/>
        </w:tabs>
        <w:spacing w:line="360" w:lineRule="auto"/>
        <w:rPr>
          <w:bCs/>
          <w:sz w:val="20"/>
        </w:rPr>
      </w:pPr>
      <w:r w:rsidRPr="0005062B">
        <w:rPr>
          <w:sz w:val="20"/>
        </w:rPr>
        <w:t>In comparison with monetary values, socio-cultural values can be incommensurable, but inferred values for ES can be expressed by means of rating the importance of different categories of socio-cultural value within a given location. This approach was adopted in this study. Using a Likert Scale descending in value from 5 –1, p</w:t>
      </w:r>
      <w:r w:rsidRPr="0005062B">
        <w:rPr>
          <w:bCs/>
          <w:sz w:val="20"/>
        </w:rPr>
        <w:t>articipants were asked to rank both the Tangible and Less Tangible values listed on the ES chart</w:t>
      </w:r>
      <w:r w:rsidRPr="0005062B">
        <w:rPr>
          <w:sz w:val="20"/>
        </w:rPr>
        <w:t xml:space="preserve"> limiting the number of no value (1) and highest value (5) to a maximum of 5 stickers, so that participants could prioritise the most important service benefits</w:t>
      </w:r>
      <w:r w:rsidRPr="0005062B">
        <w:rPr>
          <w:bCs/>
          <w:sz w:val="20"/>
        </w:rPr>
        <w:t>. Subsequent to the workshop, each value category was totalled for the whole of the coastline</w:t>
      </w:r>
      <w:r w:rsidR="005F747D">
        <w:rPr>
          <w:bCs/>
          <w:sz w:val="20"/>
        </w:rPr>
        <w:t>.</w:t>
      </w:r>
      <w:r w:rsidRPr="0005062B">
        <w:rPr>
          <w:bCs/>
          <w:sz w:val="20"/>
        </w:rPr>
        <w:t xml:space="preserve"> This revealed that Intangible Values had a larger number of higher scored values than Tangible Values with six values scoring over 40 out of 60: Aesthetics, Environmental quality, Bequest, Learning, Health and Wellbeing and Social/Community. The Tangible values, namely Economic (e.g. tourism), Recreation (Walking, Beaches), Wildlife watching and wildlife habitat (Bird watching</w:t>
      </w:r>
      <w:r>
        <w:rPr>
          <w:bCs/>
          <w:sz w:val="20"/>
        </w:rPr>
        <w:t xml:space="preserve"> </w:t>
      </w:r>
      <w:r w:rsidR="005F747D">
        <w:rPr>
          <w:bCs/>
          <w:sz w:val="20"/>
        </w:rPr>
        <w:t xml:space="preserve">Mammals/seabirds)) </w:t>
      </w:r>
      <w:r w:rsidRPr="0005062B">
        <w:rPr>
          <w:bCs/>
          <w:sz w:val="20"/>
        </w:rPr>
        <w:t>were associated more with the functionality</w:t>
      </w:r>
      <w:r w:rsidR="005F747D">
        <w:rPr>
          <w:bCs/>
          <w:sz w:val="20"/>
        </w:rPr>
        <w:t xml:space="preserve"> of nature and had lower scores. </w:t>
      </w:r>
      <w:r w:rsidRPr="0005062B">
        <w:rPr>
          <w:bCs/>
          <w:sz w:val="20"/>
        </w:rPr>
        <w:t xml:space="preserve">Supporting services, for example, the Habitat value of estuaries scored 30 suggesting that stakeholders did not perceive that functional aspects merited as high a value as CES or particularly intangible CES. Furthermore the more Tangible economic benefits of the coastline ES were not valued highly by this stakeholder group, as demonstrated by the low scores for Fishing industry (33) and Tourism (28). Nevertheless, in practice, Intangible values associated with ES still rely on the maintenance of the natural environment, or regulating ES. Future or bequest values were though given high scores also (45 out of 60). </w:t>
      </w:r>
    </w:p>
    <w:p w:rsidR="003F789A" w:rsidRPr="0005062B" w:rsidRDefault="003F789A" w:rsidP="00E55058">
      <w:pPr>
        <w:keepNext/>
        <w:tabs>
          <w:tab w:val="left" w:pos="880"/>
        </w:tabs>
        <w:spacing w:line="360" w:lineRule="auto"/>
        <w:rPr>
          <w:bCs/>
          <w:sz w:val="20"/>
        </w:rPr>
      </w:pPr>
    </w:p>
    <w:p w:rsidR="003F789A" w:rsidRPr="0005062B" w:rsidRDefault="003F789A" w:rsidP="00E55058">
      <w:pPr>
        <w:keepNext/>
        <w:tabs>
          <w:tab w:val="left" w:pos="880"/>
        </w:tabs>
        <w:spacing w:line="360" w:lineRule="auto"/>
        <w:rPr>
          <w:bCs/>
          <w:sz w:val="20"/>
        </w:rPr>
      </w:pPr>
      <w:r w:rsidRPr="0005062B">
        <w:rPr>
          <w:bCs/>
          <w:sz w:val="20"/>
        </w:rPr>
        <w:t xml:space="preserve">What we learnt from these results is the most important aspects of the coastline are (a) offering a place for casual activity and nature-based recreation on the Tangible side and (b) the wild visual landscape character contributing to personal physical and psychological health on the Intangible side. </w:t>
      </w:r>
    </w:p>
    <w:p w:rsidR="003F789A" w:rsidRDefault="003F789A" w:rsidP="00E55058">
      <w:pPr>
        <w:keepNext/>
        <w:tabs>
          <w:tab w:val="left" w:pos="880"/>
        </w:tabs>
        <w:spacing w:line="360" w:lineRule="auto"/>
        <w:rPr>
          <w:bCs/>
          <w:i/>
          <w:sz w:val="20"/>
        </w:rPr>
      </w:pPr>
    </w:p>
    <w:p w:rsidR="003F789A" w:rsidRPr="008D1372" w:rsidRDefault="003F789A" w:rsidP="00E55058">
      <w:pPr>
        <w:keepNext/>
        <w:tabs>
          <w:tab w:val="left" w:pos="880"/>
        </w:tabs>
        <w:spacing w:line="360" w:lineRule="auto"/>
        <w:rPr>
          <w:b/>
          <w:bCs/>
          <w:i/>
          <w:sz w:val="20"/>
        </w:rPr>
      </w:pPr>
      <w:r w:rsidRPr="008D1372">
        <w:rPr>
          <w:b/>
          <w:bCs/>
          <w:i/>
          <w:sz w:val="20"/>
        </w:rPr>
        <w:t>Workshop 2</w:t>
      </w:r>
    </w:p>
    <w:p w:rsidR="003F789A" w:rsidRPr="0005062B" w:rsidRDefault="003F789A" w:rsidP="00E55058">
      <w:pPr>
        <w:keepNext/>
        <w:tabs>
          <w:tab w:val="left" w:pos="880"/>
        </w:tabs>
        <w:spacing w:line="360" w:lineRule="auto"/>
        <w:rPr>
          <w:bCs/>
          <w:sz w:val="20"/>
        </w:rPr>
      </w:pPr>
      <w:r w:rsidRPr="0005062B">
        <w:rPr>
          <w:bCs/>
          <w:sz w:val="20"/>
        </w:rPr>
        <w:t xml:space="preserve">The purpose of the second workshop was to revisit the rating results and to allow participants to more openly discuss the values that they identified at each map location. A presentation was given on the results of the first workshop to illustrate the values that were listed most on the maps (Slide 1 over) and to provide feedback on the results of the rating of Tangible and Less Tangible Values. </w:t>
      </w:r>
    </w:p>
    <w:p w:rsidR="003F789A" w:rsidRDefault="003F789A" w:rsidP="00E55058">
      <w:pPr>
        <w:keepNext/>
        <w:tabs>
          <w:tab w:val="left" w:pos="880"/>
        </w:tabs>
        <w:spacing w:line="360" w:lineRule="auto"/>
        <w:rPr>
          <w:bCs/>
          <w:sz w:val="20"/>
        </w:rPr>
      </w:pPr>
    </w:p>
    <w:p w:rsidR="003F789A" w:rsidRPr="0005062B" w:rsidRDefault="003F789A" w:rsidP="00E55058">
      <w:pPr>
        <w:keepNext/>
        <w:tabs>
          <w:tab w:val="left" w:pos="880"/>
        </w:tabs>
        <w:spacing w:line="360" w:lineRule="auto"/>
        <w:rPr>
          <w:bCs/>
          <w:sz w:val="20"/>
          <w:highlight w:val="cyan"/>
        </w:rPr>
      </w:pPr>
      <w:r w:rsidRPr="0005062B">
        <w:rPr>
          <w:bCs/>
          <w:sz w:val="20"/>
        </w:rPr>
        <w:t>It was explained that the value mapping exercise revealed that nature based values of Wilderness, Wildlife, Birdwatching, Estuaries and Aesthetics, Walking and Health were the values most identified on the maps and that these tallied with results of the value rating exercise.  In order to explore the values further and allow for a sharing of values, a photo elicitation method was used to prompt participants to discuss their values more openly. Each group was asked first to describe what they saw in each image</w:t>
      </w:r>
      <w:r w:rsidRPr="0005062B">
        <w:rPr>
          <w:sz w:val="20"/>
        </w:rPr>
        <w:t xml:space="preserve"> and then what values might exist there, and what kind </w:t>
      </w:r>
      <w:r w:rsidRPr="0005062B">
        <w:rPr>
          <w:bCs/>
          <w:sz w:val="20"/>
        </w:rPr>
        <w:t>environmental services might support these values. In addition the OPERAs TESSA tool was used to provide prompts to draw out ES values in this location. The process did not work as regards getting more information on the scoring of values in each area as there were many interest groups wishing to highlight issues of concern about their own location or area of interest. However this process did uncover the different issues at play in each mapped area and this provided an opportunity for a sharing of interests, knowledge and perspectives on the issues. In the follow up interviews a number of participants expressed that they found this aspect of the workshop very informative and revealing and it enabled a non-confrontational expression of different concerns about the coastline. Two themes emerged from this process (</w:t>
      </w:r>
      <w:proofErr w:type="spellStart"/>
      <w:r w:rsidRPr="0005062B">
        <w:rPr>
          <w:bCs/>
          <w:sz w:val="20"/>
        </w:rPr>
        <w:t>i</w:t>
      </w:r>
      <w:proofErr w:type="spellEnd"/>
      <w:r w:rsidRPr="0005062B">
        <w:rPr>
          <w:bCs/>
          <w:sz w:val="20"/>
        </w:rPr>
        <w:t>) concern for the condition and management of the coastline and (ii) the potential of the coastline not being realised and infrastructure needs.</w:t>
      </w:r>
    </w:p>
    <w:p w:rsidR="003F789A" w:rsidRDefault="003F789A" w:rsidP="00E55058">
      <w:pPr>
        <w:keepNext/>
        <w:tabs>
          <w:tab w:val="left" w:pos="880"/>
        </w:tabs>
        <w:spacing w:line="360" w:lineRule="auto"/>
        <w:rPr>
          <w:i/>
          <w:sz w:val="20"/>
        </w:rPr>
      </w:pPr>
    </w:p>
    <w:p w:rsidR="003F789A" w:rsidRPr="00303E1D" w:rsidRDefault="003F789A" w:rsidP="00E55058">
      <w:pPr>
        <w:keepNext/>
        <w:tabs>
          <w:tab w:val="left" w:pos="880"/>
        </w:tabs>
        <w:spacing w:line="360" w:lineRule="auto"/>
        <w:rPr>
          <w:i/>
          <w:sz w:val="20"/>
        </w:rPr>
      </w:pPr>
      <w:r w:rsidRPr="00303E1D">
        <w:rPr>
          <w:i/>
          <w:sz w:val="20"/>
        </w:rPr>
        <w:t>ES Value Network Map</w:t>
      </w:r>
    </w:p>
    <w:p w:rsidR="003F789A" w:rsidRDefault="003F789A" w:rsidP="00E55058">
      <w:pPr>
        <w:keepNext/>
        <w:tabs>
          <w:tab w:val="left" w:pos="880"/>
        </w:tabs>
        <w:spacing w:line="360" w:lineRule="auto"/>
        <w:rPr>
          <w:sz w:val="20"/>
        </w:rPr>
      </w:pPr>
      <w:r w:rsidRPr="0005062B">
        <w:rPr>
          <w:sz w:val="20"/>
        </w:rPr>
        <w:t xml:space="preserve">One of the aims of this workshop was to involve participants in the co-creation of an ecosystem-to values network map (Concept Systems Model) so that they could begin to understand the influence of different ES in shaping their values and to build some social learning about the relative importance of particular services. A model linkage map was devised based on one used by </w:t>
      </w:r>
      <w:proofErr w:type="spellStart"/>
      <w:r w:rsidRPr="0005062B">
        <w:rPr>
          <w:sz w:val="20"/>
        </w:rPr>
        <w:t>Kenter</w:t>
      </w:r>
      <w:proofErr w:type="spellEnd"/>
      <w:r w:rsidRPr="0005062B">
        <w:rPr>
          <w:sz w:val="20"/>
        </w:rPr>
        <w:t xml:space="preserve"> et al, 2014 which had linked the influences between different variables within a socio-cultural system. Network maps </w:t>
      </w:r>
      <w:r w:rsidR="005F747D">
        <w:rPr>
          <w:sz w:val="20"/>
        </w:rPr>
        <w:t xml:space="preserve">can be used to explain the dynamic links between a set of variables and are </w:t>
      </w:r>
      <w:r w:rsidRPr="0005062B">
        <w:rPr>
          <w:sz w:val="20"/>
        </w:rPr>
        <w:t>considered to be easier to convey information about causal relationships than numerical or scientific model</w:t>
      </w:r>
      <w:r w:rsidR="005F747D">
        <w:rPr>
          <w:sz w:val="20"/>
        </w:rPr>
        <w:t>s (Mooney and Tan, 2012)</w:t>
      </w:r>
      <w:r w:rsidRPr="0005062B">
        <w:rPr>
          <w:rFonts w:cs="Tahoma"/>
          <w:color w:val="000000"/>
          <w:sz w:val="20"/>
        </w:rPr>
        <w:t xml:space="preserve">. </w:t>
      </w:r>
      <w:r w:rsidRPr="0005062B">
        <w:rPr>
          <w:sz w:val="20"/>
        </w:rPr>
        <w:t>The ES-Value network model included 2 sets of variables: (</w:t>
      </w:r>
      <w:proofErr w:type="spellStart"/>
      <w:r w:rsidRPr="0005062B">
        <w:rPr>
          <w:sz w:val="20"/>
        </w:rPr>
        <w:t>i</w:t>
      </w:r>
      <w:proofErr w:type="spellEnd"/>
      <w:r w:rsidRPr="0005062B">
        <w:rPr>
          <w:sz w:val="20"/>
        </w:rPr>
        <w:t xml:space="preserve">) categories of ES with examples taken from the Exemplar and (ii) values expressed by participants. It was proposed that the group would indicate the linkages between the two variables through a facilitator who would draw directly onto a chart to transpose the value-ES services. </w:t>
      </w:r>
    </w:p>
    <w:p w:rsidR="003F789A" w:rsidRDefault="003F789A" w:rsidP="00E55058">
      <w:pPr>
        <w:keepNext/>
        <w:tabs>
          <w:tab w:val="left" w:pos="880"/>
        </w:tabs>
        <w:spacing w:line="360" w:lineRule="auto"/>
        <w:rPr>
          <w:sz w:val="20"/>
        </w:rPr>
      </w:pPr>
    </w:p>
    <w:p w:rsidR="003F789A" w:rsidRDefault="003F789A" w:rsidP="00E55058">
      <w:pPr>
        <w:keepNext/>
        <w:tabs>
          <w:tab w:val="left" w:pos="880"/>
        </w:tabs>
        <w:spacing w:line="360" w:lineRule="auto"/>
        <w:rPr>
          <w:sz w:val="20"/>
        </w:rPr>
      </w:pPr>
      <w:r w:rsidRPr="0005062B">
        <w:rPr>
          <w:sz w:val="20"/>
        </w:rPr>
        <w:t xml:space="preserve">This process failed to occur however because there was insufficient time due to an overrun on the previous stage which was given over to participants in sharing concerns about the coastline. The facilitators decided therefore that it would be best to try and introduce this process to participants individually during one-to-one interviews. </w:t>
      </w:r>
    </w:p>
    <w:p w:rsidR="003F789A" w:rsidRPr="0005062B" w:rsidRDefault="003F789A" w:rsidP="00E55058">
      <w:pPr>
        <w:keepNext/>
        <w:tabs>
          <w:tab w:val="left" w:pos="880"/>
        </w:tabs>
        <w:spacing w:line="360" w:lineRule="auto"/>
        <w:rPr>
          <w:sz w:val="20"/>
        </w:rPr>
      </w:pPr>
      <w:r w:rsidRPr="0005062B">
        <w:rPr>
          <w:sz w:val="20"/>
        </w:rPr>
        <w:lastRenderedPageBreak/>
        <w:t xml:space="preserve">  </w:t>
      </w:r>
      <w:r w:rsidR="008C4819">
        <w:rPr>
          <w:noProof/>
          <w:sz w:val="20"/>
          <w:lang w:val="en-IE" w:eastAsia="en-IE"/>
        </w:rPr>
        <w:drawing>
          <wp:inline distT="0" distB="0" distL="0" distR="0">
            <wp:extent cx="5642610" cy="2921635"/>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2610" cy="2921635"/>
                    </a:xfrm>
                    <a:prstGeom prst="rect">
                      <a:avLst/>
                    </a:prstGeom>
                    <a:noFill/>
                    <a:ln>
                      <a:noFill/>
                    </a:ln>
                  </pic:spPr>
                </pic:pic>
              </a:graphicData>
            </a:graphic>
          </wp:inline>
        </w:drawing>
      </w:r>
    </w:p>
    <w:p w:rsidR="003F789A" w:rsidRPr="00303E1D" w:rsidRDefault="003F789A" w:rsidP="00E55058">
      <w:pPr>
        <w:keepNext/>
        <w:tabs>
          <w:tab w:val="left" w:pos="440"/>
          <w:tab w:val="left" w:pos="880"/>
        </w:tabs>
        <w:spacing w:line="360" w:lineRule="auto"/>
        <w:rPr>
          <w:rFonts w:cs="Tahoma"/>
          <w:color w:val="000000"/>
          <w:sz w:val="18"/>
          <w:szCs w:val="18"/>
        </w:rPr>
      </w:pPr>
      <w:r>
        <w:rPr>
          <w:rFonts w:cs="Tahoma"/>
          <w:color w:val="000000"/>
          <w:sz w:val="18"/>
          <w:szCs w:val="18"/>
        </w:rPr>
        <w:tab/>
      </w:r>
      <w:r w:rsidRPr="00303E1D">
        <w:rPr>
          <w:rFonts w:cs="Tahoma"/>
          <w:color w:val="000000"/>
          <w:sz w:val="18"/>
          <w:szCs w:val="18"/>
        </w:rPr>
        <w:t>Figure 1: ES-Value Linkages Network Model</w:t>
      </w:r>
    </w:p>
    <w:p w:rsidR="003F789A" w:rsidRDefault="003F789A" w:rsidP="00E55058">
      <w:pPr>
        <w:keepNext/>
        <w:tabs>
          <w:tab w:val="left" w:pos="880"/>
        </w:tabs>
        <w:spacing w:line="360" w:lineRule="auto"/>
        <w:rPr>
          <w:b/>
          <w:bCs/>
          <w:sz w:val="20"/>
        </w:rPr>
      </w:pPr>
    </w:p>
    <w:p w:rsidR="003F789A" w:rsidRPr="008D1372" w:rsidRDefault="003F789A" w:rsidP="00E55058">
      <w:pPr>
        <w:keepNext/>
        <w:tabs>
          <w:tab w:val="left" w:pos="880"/>
        </w:tabs>
        <w:spacing w:line="360" w:lineRule="auto"/>
        <w:rPr>
          <w:b/>
          <w:bCs/>
          <w:sz w:val="20"/>
        </w:rPr>
      </w:pPr>
      <w:r w:rsidRPr="008D1372">
        <w:rPr>
          <w:b/>
          <w:bCs/>
          <w:sz w:val="20"/>
        </w:rPr>
        <w:t>Interviews</w:t>
      </w:r>
    </w:p>
    <w:p w:rsidR="003F789A" w:rsidRPr="0005062B" w:rsidRDefault="003F789A" w:rsidP="00E55058">
      <w:pPr>
        <w:keepNext/>
        <w:tabs>
          <w:tab w:val="left" w:pos="880"/>
        </w:tabs>
        <w:spacing w:line="360" w:lineRule="auto"/>
        <w:rPr>
          <w:rFonts w:cs="Calibri"/>
          <w:sz w:val="20"/>
        </w:rPr>
      </w:pPr>
      <w:r w:rsidRPr="0005062B">
        <w:rPr>
          <w:rFonts w:cs="Calibri"/>
          <w:sz w:val="20"/>
        </w:rPr>
        <w:t xml:space="preserve">Shortly after the second workshop 13 out of 15 participants took part in recorded interviews, for which transcripts were made. The </w:t>
      </w:r>
      <w:r w:rsidRPr="0005062B">
        <w:rPr>
          <w:sz w:val="20"/>
        </w:rPr>
        <w:t>interviews combined two open-ended questions to get views on (</w:t>
      </w:r>
      <w:proofErr w:type="spellStart"/>
      <w:r w:rsidRPr="0005062B">
        <w:rPr>
          <w:sz w:val="20"/>
        </w:rPr>
        <w:t>i</w:t>
      </w:r>
      <w:proofErr w:type="spellEnd"/>
      <w:r w:rsidRPr="0005062B">
        <w:rPr>
          <w:sz w:val="20"/>
        </w:rPr>
        <w:t xml:space="preserve">) the concept of ES and (ii) responses to the model of SCV as a means to articulate values, and two further process style questions (iii) asking interviewees to draw links between underlying ES and values on a network diagram and (iv) asking them to revisit the value scoring to indicate their scores from an individual and community perspective. Interviewees’ responses to the ES concept, the workshop model and ES links are outlined </w:t>
      </w:r>
      <w:r>
        <w:rPr>
          <w:sz w:val="20"/>
        </w:rPr>
        <w:t xml:space="preserve">first </w:t>
      </w:r>
      <w:r w:rsidRPr="0005062B">
        <w:rPr>
          <w:sz w:val="20"/>
        </w:rPr>
        <w:t xml:space="preserve">below. </w:t>
      </w:r>
    </w:p>
    <w:p w:rsidR="003F789A" w:rsidRDefault="003F789A" w:rsidP="00E55058">
      <w:pPr>
        <w:keepNext/>
        <w:tabs>
          <w:tab w:val="left" w:pos="880"/>
        </w:tabs>
        <w:spacing w:line="360" w:lineRule="auto"/>
        <w:rPr>
          <w:sz w:val="20"/>
        </w:rPr>
      </w:pPr>
    </w:p>
    <w:p w:rsidR="003F789A" w:rsidRPr="008D1372" w:rsidRDefault="003F789A" w:rsidP="00E55058">
      <w:pPr>
        <w:keepNext/>
        <w:tabs>
          <w:tab w:val="left" w:pos="880"/>
        </w:tabs>
        <w:spacing w:line="360" w:lineRule="auto"/>
        <w:rPr>
          <w:b/>
          <w:i/>
          <w:sz w:val="20"/>
        </w:rPr>
      </w:pPr>
      <w:r w:rsidRPr="008D1372">
        <w:rPr>
          <w:b/>
          <w:i/>
          <w:sz w:val="20"/>
        </w:rPr>
        <w:t>Questions (</w:t>
      </w:r>
      <w:proofErr w:type="spellStart"/>
      <w:r w:rsidRPr="008D1372">
        <w:rPr>
          <w:b/>
          <w:i/>
          <w:sz w:val="20"/>
        </w:rPr>
        <w:t>i</w:t>
      </w:r>
      <w:proofErr w:type="spellEnd"/>
      <w:r w:rsidRPr="008D1372">
        <w:rPr>
          <w:b/>
          <w:i/>
          <w:sz w:val="20"/>
        </w:rPr>
        <w:t xml:space="preserve">) and (ii): Responses to the ES concept and SCV model process </w:t>
      </w:r>
    </w:p>
    <w:p w:rsidR="003F789A" w:rsidRDefault="003F789A" w:rsidP="00E55058">
      <w:pPr>
        <w:keepNext/>
        <w:tabs>
          <w:tab w:val="left" w:pos="880"/>
        </w:tabs>
        <w:spacing w:line="360" w:lineRule="auto"/>
        <w:rPr>
          <w:sz w:val="20"/>
        </w:rPr>
      </w:pPr>
      <w:r w:rsidRPr="0005062B">
        <w:rPr>
          <w:sz w:val="20"/>
        </w:rPr>
        <w:t>Participants found the ES concept challenging and were more comfortable expressing the benefits that the coastline offers to them or their community (Tangible values) or the benefits that flow to them personally (Intangible values). A number of participants expressed some confusion about where the process will go or if it can be used in decision making. One considered it “a bit wishy washy, no right or wrong” (I12). Another thought the concept of asking people about their values in advance might be a good thing (I11). Another participant thought it would be appropriate to use the results of the mapping process to inform zoning and planning decisions (I 7).</w:t>
      </w:r>
    </w:p>
    <w:p w:rsidR="003F789A" w:rsidRPr="0005062B"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 xml:space="preserve">It was also considered that it is difficult to really assess people’s values unless they are faced with a problem which really challenged them. A number of interviewees were positive about the use of the ES concept as model to understand the benefits of the environment. Others considered the model </w:t>
      </w:r>
      <w:r w:rsidRPr="0005062B">
        <w:rPr>
          <w:sz w:val="20"/>
        </w:rPr>
        <w:lastRenderedPageBreak/>
        <w:t xml:space="preserve">beneficial as it provided a platform for sharing of values, interests and concerns in a non-adversarial setting with no hidden agendas. </w:t>
      </w:r>
    </w:p>
    <w:p w:rsidR="003F789A" w:rsidRDefault="003F789A" w:rsidP="00E55058">
      <w:pPr>
        <w:keepNext/>
        <w:tabs>
          <w:tab w:val="left" w:pos="880"/>
        </w:tabs>
        <w:spacing w:line="360" w:lineRule="auto"/>
        <w:rPr>
          <w:sz w:val="20"/>
        </w:rPr>
      </w:pPr>
    </w:p>
    <w:p w:rsidR="003F789A" w:rsidRPr="008D1372" w:rsidRDefault="003F789A" w:rsidP="00E55058">
      <w:pPr>
        <w:keepNext/>
        <w:tabs>
          <w:tab w:val="left" w:pos="880"/>
        </w:tabs>
        <w:spacing w:line="360" w:lineRule="auto"/>
        <w:rPr>
          <w:b/>
          <w:i/>
          <w:sz w:val="20"/>
        </w:rPr>
      </w:pPr>
      <w:r w:rsidRPr="008D1372">
        <w:rPr>
          <w:b/>
          <w:i/>
          <w:sz w:val="20"/>
        </w:rPr>
        <w:t>Question (ii) and (iii): ES Linkages and Values Elicited</w:t>
      </w:r>
    </w:p>
    <w:p w:rsidR="003F789A" w:rsidRPr="0005062B" w:rsidRDefault="003F789A" w:rsidP="00E55058">
      <w:pPr>
        <w:keepNext/>
        <w:tabs>
          <w:tab w:val="left" w:pos="880"/>
        </w:tabs>
        <w:spacing w:line="360" w:lineRule="auto"/>
        <w:rPr>
          <w:sz w:val="20"/>
        </w:rPr>
      </w:pPr>
      <w:r w:rsidRPr="0005062B">
        <w:rPr>
          <w:sz w:val="20"/>
        </w:rPr>
        <w:t>During the interviews each participant was shown the ES-value linkage model diagram and asked to consider the linkages between the two sets of variables as they applied in the Exemplar. Only two of the thirteen interviews could engage directly in the process of drawing on the model. Many demonstrated cognitive difficulty in engaging with the chart indicating that it was a challenge for the stakeholders to understand the relationships between services and values.</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sidRPr="0005062B">
        <w:rPr>
          <w:sz w:val="20"/>
        </w:rPr>
        <w:t xml:space="preserve">It was decided therefore not to pursue this task any further other than using the diagram as a support for discussion about ES-value linkages. Interviewees did make verbal reference to the linkages stating rather that “they are all linked” . It appears therefore that there is a level of understanding about linkages, but that this exists more at an implicit level. Some stakeholders can see how values overlap  rather than making connections between the values and the ES. The linkage chart may is therefore more suitable as a prompt rather than exercise to reveal values. </w:t>
      </w:r>
    </w:p>
    <w:p w:rsidR="003F789A" w:rsidRDefault="003F789A" w:rsidP="00E55058">
      <w:pPr>
        <w:keepNext/>
        <w:tabs>
          <w:tab w:val="left" w:pos="880"/>
        </w:tabs>
        <w:spacing w:line="360" w:lineRule="auto"/>
        <w:rPr>
          <w:i/>
          <w:sz w:val="20"/>
        </w:rPr>
      </w:pPr>
    </w:p>
    <w:p w:rsidR="003F789A" w:rsidRPr="008D1372" w:rsidRDefault="003F789A" w:rsidP="00E55058">
      <w:pPr>
        <w:keepNext/>
        <w:tabs>
          <w:tab w:val="left" w:pos="880"/>
        </w:tabs>
        <w:spacing w:line="360" w:lineRule="auto"/>
        <w:rPr>
          <w:b/>
          <w:i/>
          <w:sz w:val="20"/>
        </w:rPr>
      </w:pPr>
      <w:r w:rsidRPr="008D1372">
        <w:rPr>
          <w:b/>
          <w:i/>
          <w:sz w:val="20"/>
        </w:rPr>
        <w:t xml:space="preserve">The values and themes emerging from the interviews </w:t>
      </w:r>
    </w:p>
    <w:p w:rsidR="003F789A" w:rsidRPr="0005062B" w:rsidRDefault="003F789A" w:rsidP="00E55058">
      <w:pPr>
        <w:keepNext/>
        <w:tabs>
          <w:tab w:val="left" w:pos="880"/>
        </w:tabs>
        <w:spacing w:line="360" w:lineRule="auto"/>
        <w:rPr>
          <w:sz w:val="20"/>
        </w:rPr>
      </w:pPr>
      <w:r w:rsidRPr="0005062B">
        <w:rPr>
          <w:sz w:val="20"/>
        </w:rPr>
        <w:t xml:space="preserve">A preliminary analysis of the second set of questions was carried out using the QSR </w:t>
      </w:r>
      <w:proofErr w:type="spellStart"/>
      <w:r w:rsidRPr="0005062B">
        <w:rPr>
          <w:sz w:val="20"/>
        </w:rPr>
        <w:t>NVivo</w:t>
      </w:r>
      <w:proofErr w:type="spellEnd"/>
      <w:r w:rsidRPr="0005062B">
        <w:rPr>
          <w:sz w:val="20"/>
        </w:rPr>
        <w:t xml:space="preserve"> software. The interview transcripts were coded according to different value based themes indicating participants’ socio-ecological relationship with the coastal </w:t>
      </w:r>
      <w:r>
        <w:rPr>
          <w:sz w:val="20"/>
        </w:rPr>
        <w:t>ES</w:t>
      </w:r>
      <w:r w:rsidRPr="0005062B">
        <w:rPr>
          <w:sz w:val="20"/>
        </w:rPr>
        <w:t>.  A number of themes emerged that demonstrated that although these participants are not directly dependent upon coastal ES for their livelihood or wellbeing, they are affected by changes in ES and are aware that changes in ES can impact on the flow of benefits that they receive from the coastal ES. It also illustrates that stakeholders are concerned about the quality of the ES as it impacts on the recreation and amenity value and consider accessibility to the coastline a key issue to increase the overall potential value of the coastline. It is intended that a more complete analysis will be undertaken and will be used as reference for the Multi-Criteria Decision workshop in 2016.</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Pr>
          <w:sz w:val="20"/>
        </w:rPr>
        <w:t xml:space="preserve">a) </w:t>
      </w:r>
      <w:r w:rsidRPr="0005062B">
        <w:rPr>
          <w:sz w:val="20"/>
        </w:rPr>
        <w:t>Way of Life Value</w:t>
      </w:r>
    </w:p>
    <w:p w:rsidR="003F789A" w:rsidRPr="0005062B" w:rsidRDefault="003F789A" w:rsidP="00E55058">
      <w:pPr>
        <w:keepNext/>
        <w:tabs>
          <w:tab w:val="left" w:pos="880"/>
        </w:tabs>
        <w:spacing w:line="360" w:lineRule="auto"/>
        <w:rPr>
          <w:sz w:val="20"/>
        </w:rPr>
      </w:pPr>
      <w:r w:rsidRPr="0005062B">
        <w:rPr>
          <w:sz w:val="20"/>
        </w:rPr>
        <w:t xml:space="preserve">The interviews revealed that the changes in ES dynamics and quality can alter way of life / traditional values in a </w:t>
      </w:r>
      <w:proofErr w:type="spellStart"/>
      <w:r w:rsidRPr="0005062B">
        <w:rPr>
          <w:sz w:val="20"/>
        </w:rPr>
        <w:t>peri</w:t>
      </w:r>
      <w:proofErr w:type="spellEnd"/>
      <w:r w:rsidRPr="0005062B">
        <w:rPr>
          <w:sz w:val="20"/>
        </w:rPr>
        <w:t xml:space="preserve">-urban area, but sometimes in unexpected ways. For example, one interviewee referred to having once been able to go on “fishing picnics”, but that he could no longer do so due to as he believed that the overpopulation of seals has reduced the fish stocks (I05).  </w:t>
      </w:r>
    </w:p>
    <w:p w:rsidR="003F789A" w:rsidRPr="00303E1D" w:rsidRDefault="003F789A" w:rsidP="004E27DC">
      <w:pPr>
        <w:keepNext/>
        <w:tabs>
          <w:tab w:val="left" w:pos="440"/>
        </w:tabs>
        <w:spacing w:line="360" w:lineRule="auto"/>
        <w:ind w:left="440"/>
        <w:jc w:val="left"/>
        <w:rPr>
          <w:sz w:val="18"/>
          <w:szCs w:val="18"/>
        </w:rPr>
      </w:pPr>
      <w:r w:rsidRPr="0005062B">
        <w:rPr>
          <w:sz w:val="20"/>
        </w:rPr>
        <w:t>“</w:t>
      </w:r>
      <w:r w:rsidRPr="00303E1D">
        <w:rPr>
          <w:sz w:val="18"/>
          <w:szCs w:val="18"/>
        </w:rPr>
        <w:t>There were photos of beaches covered in people – long ago – people rented out their houses to people (secondary/casual income – this was also provided by selling fish catches to markets) and moved into back sheds in garden – people rented house for whole summer –seasonal income” [I05]</w:t>
      </w:r>
    </w:p>
    <w:p w:rsidR="003F789A" w:rsidRPr="00303E1D" w:rsidRDefault="003F789A" w:rsidP="004E27DC">
      <w:pPr>
        <w:keepNext/>
        <w:tabs>
          <w:tab w:val="left" w:pos="440"/>
        </w:tabs>
        <w:spacing w:line="360" w:lineRule="auto"/>
        <w:ind w:left="440"/>
        <w:jc w:val="left"/>
        <w:rPr>
          <w:sz w:val="18"/>
          <w:szCs w:val="18"/>
        </w:rPr>
      </w:pPr>
      <w:r w:rsidRPr="00303E1D">
        <w:rPr>
          <w:sz w:val="18"/>
          <w:szCs w:val="18"/>
        </w:rPr>
        <w:lastRenderedPageBreak/>
        <w:t>“Going out to Colt island to fish today…Colt Island, nature reserve, if we go fishing there’s a lot less fish in the sea from when we were younger…we used to go out fishing with grandad and come back with fish boxes and we used to go door to door selling them and gutting them for the people, that isn’t the case anymore”. [I12]</w:t>
      </w:r>
    </w:p>
    <w:p w:rsidR="003F789A" w:rsidRPr="00303E1D" w:rsidRDefault="003F789A" w:rsidP="004E27DC">
      <w:pPr>
        <w:keepNext/>
        <w:tabs>
          <w:tab w:val="left" w:pos="440"/>
        </w:tabs>
        <w:spacing w:line="360" w:lineRule="auto"/>
        <w:ind w:left="440"/>
        <w:jc w:val="left"/>
        <w:rPr>
          <w:sz w:val="18"/>
          <w:szCs w:val="18"/>
        </w:rPr>
      </w:pPr>
      <w:r w:rsidRPr="00303E1D">
        <w:rPr>
          <w:sz w:val="18"/>
          <w:szCs w:val="18"/>
        </w:rPr>
        <w:t xml:space="preserve">“The town of Rush at that stage probably had anything from 150-200 small growers – they might have now 10-20 growers at the moment – maybe a little bit more – I don’t want to exaggerate, but it has changed drastically – the Fingal area is probably the same – I wouldn’t know the fishing industry places but if you look at </w:t>
      </w:r>
      <w:proofErr w:type="spellStart"/>
      <w:r w:rsidRPr="00303E1D">
        <w:rPr>
          <w:sz w:val="18"/>
          <w:szCs w:val="18"/>
        </w:rPr>
        <w:t>Skerries</w:t>
      </w:r>
      <w:proofErr w:type="spellEnd"/>
      <w:r w:rsidRPr="00303E1D">
        <w:rPr>
          <w:sz w:val="18"/>
          <w:szCs w:val="18"/>
        </w:rPr>
        <w:t xml:space="preserve"> you only have a couple of fishing boats in </w:t>
      </w:r>
      <w:proofErr w:type="spellStart"/>
      <w:r w:rsidRPr="00303E1D">
        <w:rPr>
          <w:sz w:val="18"/>
          <w:szCs w:val="18"/>
        </w:rPr>
        <w:t>Skerries</w:t>
      </w:r>
      <w:proofErr w:type="spellEnd"/>
      <w:r w:rsidRPr="00303E1D">
        <w:rPr>
          <w:sz w:val="18"/>
          <w:szCs w:val="18"/>
        </w:rPr>
        <w:t xml:space="preserve"> – it’s changed so much. The environment we are living has changed so much all the time”. [I03]</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Pr>
          <w:sz w:val="20"/>
        </w:rPr>
        <w:t xml:space="preserve">b) </w:t>
      </w:r>
      <w:r w:rsidRPr="0005062B">
        <w:rPr>
          <w:sz w:val="20"/>
        </w:rPr>
        <w:t xml:space="preserve">Change </w:t>
      </w:r>
    </w:p>
    <w:p w:rsidR="003F789A" w:rsidRPr="0005062B" w:rsidRDefault="003F789A" w:rsidP="00E55058">
      <w:pPr>
        <w:keepNext/>
        <w:tabs>
          <w:tab w:val="left" w:pos="880"/>
        </w:tabs>
        <w:spacing w:line="360" w:lineRule="auto"/>
        <w:rPr>
          <w:sz w:val="20"/>
        </w:rPr>
      </w:pPr>
      <w:r w:rsidRPr="0005062B">
        <w:rPr>
          <w:sz w:val="20"/>
        </w:rPr>
        <w:t>Interviewees seemed to lament the past image of Fingal and its vibrant coastal towns and villages supported by fishing and Dublin day-tripper tourism. Other interviewees accepted that change was only to be expected and that new activities, some linked to ES, could replace the old, for example wildlife watching or recreational</w:t>
      </w:r>
      <w:r>
        <w:rPr>
          <w:sz w:val="20"/>
        </w:rPr>
        <w:t xml:space="preserve"> or </w:t>
      </w:r>
      <w:r w:rsidRPr="0005062B">
        <w:rPr>
          <w:sz w:val="20"/>
        </w:rPr>
        <w:t xml:space="preserve">sea-angling. </w:t>
      </w:r>
    </w:p>
    <w:p w:rsidR="003F789A" w:rsidRPr="00303E1D" w:rsidRDefault="003F789A" w:rsidP="004E27DC">
      <w:pPr>
        <w:keepNext/>
        <w:tabs>
          <w:tab w:val="left" w:pos="880"/>
        </w:tabs>
        <w:spacing w:line="360" w:lineRule="auto"/>
        <w:ind w:left="720"/>
        <w:jc w:val="left"/>
        <w:rPr>
          <w:sz w:val="18"/>
          <w:szCs w:val="18"/>
        </w:rPr>
      </w:pPr>
      <w:r w:rsidRPr="00303E1D">
        <w:rPr>
          <w:sz w:val="18"/>
          <w:szCs w:val="18"/>
        </w:rPr>
        <w:t>“Natural/way of life heritage value – don’t know if there is a historical thing going on – new activities have replaced shipbuilding – pleasure craft replaced shipping” [I10]</w:t>
      </w:r>
    </w:p>
    <w:p w:rsidR="003F789A" w:rsidRPr="00303E1D" w:rsidRDefault="003F789A" w:rsidP="004E27DC">
      <w:pPr>
        <w:keepNext/>
        <w:tabs>
          <w:tab w:val="left" w:pos="720"/>
          <w:tab w:val="left" w:pos="8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left"/>
        <w:rPr>
          <w:rFonts w:cs="Calibri"/>
          <w:sz w:val="18"/>
          <w:szCs w:val="18"/>
        </w:rPr>
      </w:pPr>
      <w:r w:rsidRPr="00303E1D">
        <w:rPr>
          <w:sz w:val="18"/>
          <w:szCs w:val="18"/>
        </w:rPr>
        <w:t>“</w:t>
      </w:r>
      <w:r w:rsidRPr="00303E1D">
        <w:rPr>
          <w:rFonts w:cs="Calibri"/>
          <w:iCs/>
          <w:sz w:val="18"/>
          <w:szCs w:val="18"/>
        </w:rPr>
        <w:t>While recognising that we can’t stop development, we can’t necessarily keep all these things to ourselves – you know…should be able to access the things were able to enjoy as well but we have to balance that in protecting environment and enjoying it”</w:t>
      </w:r>
      <w:r w:rsidRPr="00303E1D">
        <w:rPr>
          <w:rFonts w:cs="Calibri"/>
          <w:sz w:val="18"/>
          <w:szCs w:val="18"/>
        </w:rPr>
        <w:t xml:space="preserve"> [I04]</w:t>
      </w:r>
    </w:p>
    <w:p w:rsidR="003F789A" w:rsidRDefault="003F789A" w:rsidP="00E55058">
      <w:pPr>
        <w:keepNext/>
        <w:tabs>
          <w:tab w:val="left" w:pos="880"/>
        </w:tabs>
        <w:spacing w:line="360" w:lineRule="auto"/>
        <w:rPr>
          <w:sz w:val="20"/>
        </w:rPr>
      </w:pPr>
    </w:p>
    <w:p w:rsidR="003F789A" w:rsidRPr="0005062B" w:rsidRDefault="003F789A" w:rsidP="00E55058">
      <w:pPr>
        <w:keepNext/>
        <w:tabs>
          <w:tab w:val="left" w:pos="880"/>
        </w:tabs>
        <w:spacing w:line="360" w:lineRule="auto"/>
        <w:rPr>
          <w:sz w:val="20"/>
        </w:rPr>
      </w:pPr>
      <w:r>
        <w:rPr>
          <w:sz w:val="20"/>
        </w:rPr>
        <w:t xml:space="preserve">c) </w:t>
      </w:r>
      <w:r w:rsidRPr="0005062B">
        <w:rPr>
          <w:sz w:val="20"/>
        </w:rPr>
        <w:t>Values of ES not being realised</w:t>
      </w:r>
    </w:p>
    <w:p w:rsidR="003F789A" w:rsidRPr="0005062B" w:rsidRDefault="003F789A" w:rsidP="00E55058">
      <w:pPr>
        <w:keepNext/>
        <w:tabs>
          <w:tab w:val="left" w:pos="880"/>
        </w:tabs>
        <w:spacing w:line="360" w:lineRule="auto"/>
        <w:rPr>
          <w:sz w:val="20"/>
        </w:rPr>
      </w:pPr>
      <w:r w:rsidRPr="0005062B">
        <w:rPr>
          <w:sz w:val="20"/>
        </w:rPr>
        <w:t xml:space="preserve">Interviewees reflected on uses of ES and barriers to use and also considered how the quality of the ES can impact on the potential value of the coastline, which many felt to have greater potential. During the process of scoring of values, a number of interviewees stated that they would score values higher if the quality of the ES was improved or better managed (e.g. water quality) (I01, I03)) or that scores would be higher with more infrastructure or access. In this regard, an emerging theme was that of accessibility to the coast for walking or cycling . A number of interviewees felt that if accessibility and infrastructure was improved the values linked to the coastal ES would be higher.  </w:t>
      </w:r>
    </w:p>
    <w:p w:rsidR="003F789A" w:rsidRPr="00303E1D" w:rsidRDefault="003F789A" w:rsidP="004E27DC">
      <w:pPr>
        <w:keepNext/>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440"/>
        <w:jc w:val="left"/>
        <w:rPr>
          <w:rFonts w:cs="Calibri"/>
          <w:sz w:val="18"/>
          <w:szCs w:val="18"/>
        </w:rPr>
      </w:pPr>
      <w:r w:rsidRPr="00303E1D">
        <w:rPr>
          <w:sz w:val="18"/>
          <w:szCs w:val="18"/>
        </w:rPr>
        <w:t>“</w:t>
      </w:r>
      <w:r w:rsidRPr="00303E1D">
        <w:rPr>
          <w:rFonts w:cs="Calibri"/>
          <w:sz w:val="18"/>
          <w:szCs w:val="18"/>
        </w:rPr>
        <w:t>Coastline not used for walking – people go on the ring roads – need coastal path to be safe to walk”  [I01]</w:t>
      </w:r>
    </w:p>
    <w:p w:rsidR="003F789A" w:rsidRDefault="003F789A" w:rsidP="004E27DC">
      <w:pPr>
        <w:keepNext/>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sz w:val="18"/>
          <w:szCs w:val="18"/>
        </w:rPr>
      </w:pPr>
      <w:r w:rsidRPr="00303E1D">
        <w:rPr>
          <w:rFonts w:cs="Calibri"/>
          <w:sz w:val="18"/>
          <w:szCs w:val="18"/>
        </w:rPr>
        <w:t>“Sense of community – beach –is free for everyone – it’s a public space – accessibility matters – it’s easy to use [I02]</w:t>
      </w:r>
    </w:p>
    <w:p w:rsidR="00DE721C" w:rsidRPr="00303E1D" w:rsidRDefault="00DE721C" w:rsidP="004E27DC">
      <w:pPr>
        <w:keepNext/>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sz w:val="18"/>
          <w:szCs w:val="18"/>
        </w:rPr>
      </w:pPr>
    </w:p>
    <w:p w:rsidR="003F789A" w:rsidRPr="00303E1D" w:rsidRDefault="003F789A" w:rsidP="004E27DC">
      <w:pPr>
        <w:keepNext/>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440"/>
        <w:jc w:val="left"/>
        <w:rPr>
          <w:rFonts w:cs="Calibri"/>
          <w:sz w:val="18"/>
          <w:szCs w:val="18"/>
        </w:rPr>
      </w:pPr>
      <w:r w:rsidRPr="00303E1D" w:rsidDel="00DF7935">
        <w:rPr>
          <w:rFonts w:cs="Calibri"/>
          <w:sz w:val="18"/>
          <w:szCs w:val="18"/>
        </w:rPr>
        <w:t xml:space="preserve"> </w:t>
      </w:r>
      <w:r w:rsidRPr="00303E1D">
        <w:rPr>
          <w:rFonts w:cs="Calibri"/>
          <w:sz w:val="18"/>
          <w:szCs w:val="18"/>
        </w:rPr>
        <w:t>“…mean people have different interests to I have and you have to be realistic about it – you can’t use an area unless it has facilities to use it and we’re not talking about bringing 1000s people – if 10-20 people want to go down into a small car park, have a picnic, have a look at birds going in and out – you mean without passing the wildlife as well - it should be accessible –it’s not at the moment” [I03]</w:t>
      </w:r>
    </w:p>
    <w:p w:rsidR="00DE721C" w:rsidRDefault="00DE721C" w:rsidP="004E27DC">
      <w:pPr>
        <w:keepNext/>
        <w:tabs>
          <w:tab w:val="left" w:pos="720"/>
          <w:tab w:val="left" w:pos="8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jc w:val="left"/>
        <w:rPr>
          <w:rFonts w:cs="Calibri"/>
          <w:sz w:val="18"/>
          <w:szCs w:val="18"/>
        </w:rPr>
      </w:pPr>
    </w:p>
    <w:p w:rsidR="003F789A" w:rsidRDefault="003F789A" w:rsidP="004E27DC">
      <w:pPr>
        <w:keepNext/>
        <w:tabs>
          <w:tab w:val="left" w:pos="720"/>
          <w:tab w:val="left" w:pos="8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jc w:val="left"/>
        <w:rPr>
          <w:rFonts w:cs="Calibri"/>
          <w:sz w:val="18"/>
          <w:szCs w:val="18"/>
        </w:rPr>
      </w:pPr>
      <w:r w:rsidRPr="00303E1D" w:rsidDel="00DF7935">
        <w:rPr>
          <w:rFonts w:cs="Calibri"/>
          <w:sz w:val="18"/>
          <w:szCs w:val="18"/>
        </w:rPr>
        <w:lastRenderedPageBreak/>
        <w:t xml:space="preserve"> </w:t>
      </w:r>
      <w:r w:rsidRPr="00303E1D">
        <w:rPr>
          <w:rFonts w:cs="Calibri"/>
          <w:sz w:val="18"/>
          <w:szCs w:val="18"/>
        </w:rPr>
        <w:t>“I think the Planners need to – if they want to protect the environment they need to make it accessible, so that people take ownership” [106]</w:t>
      </w:r>
    </w:p>
    <w:p w:rsidR="003F789A" w:rsidRPr="00303E1D" w:rsidRDefault="003F789A" w:rsidP="004E27DC">
      <w:pPr>
        <w:keepNext/>
        <w:tabs>
          <w:tab w:val="left" w:pos="720"/>
          <w:tab w:val="left" w:pos="8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jc w:val="left"/>
        <w:rPr>
          <w:rFonts w:cs="Calibri"/>
          <w:sz w:val="18"/>
          <w:szCs w:val="18"/>
        </w:rPr>
      </w:pPr>
    </w:p>
    <w:p w:rsidR="003F789A" w:rsidRPr="0005062B" w:rsidRDefault="003F789A" w:rsidP="00E55058">
      <w:pPr>
        <w:keepNext/>
        <w:tabs>
          <w:tab w:val="left" w:pos="880"/>
        </w:tabs>
        <w:spacing w:line="360" w:lineRule="auto"/>
        <w:rPr>
          <w:sz w:val="20"/>
        </w:rPr>
      </w:pPr>
      <w:r>
        <w:rPr>
          <w:sz w:val="20"/>
        </w:rPr>
        <w:t xml:space="preserve">d) </w:t>
      </w:r>
      <w:r w:rsidRPr="0005062B">
        <w:rPr>
          <w:sz w:val="20"/>
        </w:rPr>
        <w:t xml:space="preserve">Management of ES </w:t>
      </w:r>
    </w:p>
    <w:p w:rsidR="003F789A" w:rsidRPr="0005062B" w:rsidRDefault="003F789A" w:rsidP="00E55058">
      <w:pPr>
        <w:keepNext/>
        <w:tabs>
          <w:tab w:val="left" w:pos="880"/>
        </w:tabs>
        <w:spacing w:line="360" w:lineRule="auto"/>
        <w:rPr>
          <w:sz w:val="20"/>
        </w:rPr>
      </w:pPr>
      <w:r w:rsidRPr="0005062B">
        <w:rPr>
          <w:sz w:val="20"/>
        </w:rPr>
        <w:t xml:space="preserve">Interviewees made reference to the impact of sewage on water quality and its knock on effect on the enjoyment of the recreational amenity value of the coastline. They also referred to the need to manage commercial fishing and tourism/recreational uses so that wildlife value of the coastline could be protected. </w:t>
      </w:r>
    </w:p>
    <w:p w:rsidR="003F789A" w:rsidRDefault="003F789A" w:rsidP="004E27DC">
      <w:pPr>
        <w:keepNext/>
        <w:spacing w:line="360" w:lineRule="auto"/>
        <w:ind w:left="440"/>
        <w:jc w:val="left"/>
        <w:rPr>
          <w:sz w:val="18"/>
          <w:szCs w:val="18"/>
        </w:rPr>
      </w:pPr>
      <w:r w:rsidRPr="00303E1D">
        <w:rPr>
          <w:sz w:val="18"/>
          <w:szCs w:val="18"/>
        </w:rPr>
        <w:t>“I don’t know why that is…I assume it’s been overfished and not monitored…but you have someone else who works in the sea – like fishermen, they value the sea because it’s the way of making a living - our values are different but no less important” [I12]</w:t>
      </w:r>
    </w:p>
    <w:p w:rsidR="00DE721C" w:rsidRPr="00303E1D" w:rsidRDefault="00DE721C" w:rsidP="004E27DC">
      <w:pPr>
        <w:keepNext/>
        <w:spacing w:line="360" w:lineRule="auto"/>
        <w:ind w:left="440"/>
        <w:jc w:val="left"/>
        <w:rPr>
          <w:sz w:val="18"/>
          <w:szCs w:val="18"/>
        </w:rPr>
      </w:pPr>
    </w:p>
    <w:p w:rsidR="003F789A" w:rsidRPr="00303E1D" w:rsidRDefault="003F789A"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440"/>
        <w:jc w:val="left"/>
        <w:rPr>
          <w:rFonts w:cs="Calibri"/>
          <w:sz w:val="18"/>
          <w:szCs w:val="18"/>
        </w:rPr>
      </w:pPr>
      <w:r w:rsidRPr="00303E1D">
        <w:rPr>
          <w:sz w:val="18"/>
          <w:szCs w:val="18"/>
        </w:rPr>
        <w:t>“</w:t>
      </w:r>
      <w:r w:rsidRPr="00303E1D">
        <w:rPr>
          <w:rFonts w:cs="Calibri"/>
          <w:sz w:val="18"/>
          <w:szCs w:val="18"/>
        </w:rPr>
        <w:t>I mean when environmental committee raised the issue of the sewage in the water – we’re not trying to put people off using it – we’d love to see them using it more – when you think in reality they are diving into sewage – it’s pretty sad – you know the harbour area – I think there’s a strong history there…” [I03]</w:t>
      </w:r>
    </w:p>
    <w:p w:rsidR="003F789A" w:rsidRPr="00303E1D" w:rsidRDefault="003F789A"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iCs/>
          <w:sz w:val="18"/>
          <w:szCs w:val="18"/>
        </w:rPr>
      </w:pPr>
      <w:r w:rsidRPr="00303E1D">
        <w:rPr>
          <w:rFonts w:cs="Calibri"/>
          <w:sz w:val="18"/>
          <w:szCs w:val="18"/>
        </w:rPr>
        <w:t>“</w:t>
      </w:r>
      <w:proofErr w:type="spellStart"/>
      <w:r w:rsidRPr="00303E1D">
        <w:rPr>
          <w:rFonts w:cs="Calibri"/>
          <w:sz w:val="18"/>
          <w:szCs w:val="18"/>
        </w:rPr>
        <w:t>Env</w:t>
      </w:r>
      <w:proofErr w:type="spellEnd"/>
      <w:r w:rsidRPr="00303E1D">
        <w:rPr>
          <w:rFonts w:cs="Calibri"/>
          <w:sz w:val="18"/>
          <w:szCs w:val="18"/>
        </w:rPr>
        <w:t xml:space="preserve">/quality - </w:t>
      </w:r>
      <w:r w:rsidRPr="00303E1D">
        <w:rPr>
          <w:rFonts w:cs="Calibri"/>
          <w:iCs/>
          <w:sz w:val="18"/>
          <w:szCs w:val="18"/>
        </w:rPr>
        <w:t>I know that the odd occasion when the beaches were closed because of problems with water quality there is a major impact because people do us the beaches so much in the summer to go swimming so it’s a big concern”. [I04]</w:t>
      </w:r>
    </w:p>
    <w:p w:rsidR="00DE721C" w:rsidRDefault="00DE721C"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440"/>
        <w:jc w:val="left"/>
        <w:rPr>
          <w:rFonts w:cs="Calibri"/>
          <w:bCs/>
          <w:sz w:val="18"/>
          <w:szCs w:val="18"/>
        </w:rPr>
      </w:pPr>
    </w:p>
    <w:p w:rsidR="003F789A" w:rsidRPr="00303E1D" w:rsidRDefault="003F789A"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440"/>
        <w:jc w:val="left"/>
        <w:rPr>
          <w:rFonts w:cs="Calibri"/>
          <w:sz w:val="18"/>
          <w:szCs w:val="18"/>
        </w:rPr>
      </w:pPr>
      <w:r w:rsidRPr="00303E1D">
        <w:rPr>
          <w:rFonts w:cs="Calibri"/>
          <w:bCs/>
          <w:sz w:val="18"/>
          <w:szCs w:val="18"/>
        </w:rPr>
        <w:t xml:space="preserve">Values way down </w:t>
      </w:r>
      <w:proofErr w:type="gramStart"/>
      <w:r w:rsidRPr="00303E1D">
        <w:rPr>
          <w:rFonts w:cs="Calibri"/>
          <w:bCs/>
          <w:sz w:val="18"/>
          <w:szCs w:val="18"/>
        </w:rPr>
        <w:t xml:space="preserve">-  </w:t>
      </w:r>
      <w:r w:rsidRPr="00303E1D">
        <w:rPr>
          <w:rFonts w:cs="Calibri"/>
          <w:sz w:val="18"/>
          <w:szCs w:val="18"/>
        </w:rPr>
        <w:t>angling</w:t>
      </w:r>
      <w:proofErr w:type="gramEnd"/>
      <w:r w:rsidRPr="00303E1D">
        <w:rPr>
          <w:rFonts w:cs="Calibri"/>
          <w:sz w:val="18"/>
          <w:szCs w:val="18"/>
        </w:rPr>
        <w:t xml:space="preserve">, boating/sailing, swimming/surfing. </w:t>
      </w:r>
      <w:proofErr w:type="spellStart"/>
      <w:r w:rsidRPr="00303E1D">
        <w:rPr>
          <w:rFonts w:cs="Calibri"/>
          <w:sz w:val="18"/>
          <w:szCs w:val="18"/>
        </w:rPr>
        <w:t>Skerries</w:t>
      </w:r>
      <w:proofErr w:type="spellEnd"/>
      <w:r w:rsidRPr="00303E1D">
        <w:rPr>
          <w:rFonts w:cs="Calibri"/>
          <w:sz w:val="18"/>
          <w:szCs w:val="18"/>
        </w:rPr>
        <w:t xml:space="preserve"> water treatment plant  – old treatment plant was a huge septic tank on </w:t>
      </w:r>
      <w:proofErr w:type="spellStart"/>
      <w:r w:rsidRPr="00303E1D">
        <w:rPr>
          <w:rFonts w:cs="Calibri"/>
          <w:sz w:val="18"/>
          <w:szCs w:val="18"/>
        </w:rPr>
        <w:t>Shenick</w:t>
      </w:r>
      <w:proofErr w:type="spellEnd"/>
      <w:r w:rsidRPr="00303E1D">
        <w:rPr>
          <w:rFonts w:cs="Calibri"/>
          <w:sz w:val="18"/>
          <w:szCs w:val="18"/>
        </w:rPr>
        <w:t xml:space="preserve"> island – sewage was overflowing down beach into the sea” [I05]</w:t>
      </w:r>
    </w:p>
    <w:p w:rsidR="00DE721C" w:rsidRDefault="00DE721C"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sz w:val="18"/>
          <w:szCs w:val="18"/>
        </w:rPr>
      </w:pPr>
    </w:p>
    <w:p w:rsidR="003F789A" w:rsidRPr="00303E1D" w:rsidRDefault="003F789A"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sz w:val="18"/>
          <w:szCs w:val="18"/>
        </w:rPr>
      </w:pPr>
      <w:r w:rsidRPr="00303E1D" w:rsidDel="007F2212">
        <w:rPr>
          <w:rFonts w:cs="Calibri"/>
          <w:sz w:val="18"/>
          <w:szCs w:val="18"/>
        </w:rPr>
        <w:t xml:space="preserve"> </w:t>
      </w:r>
      <w:r w:rsidRPr="00303E1D">
        <w:rPr>
          <w:rFonts w:cs="Calibri"/>
          <w:sz w:val="18"/>
          <w:szCs w:val="18"/>
        </w:rPr>
        <w:t>“..yeah we’re looking for a Golden Mile right around the island [</w:t>
      </w:r>
      <w:r w:rsidRPr="00303E1D">
        <w:rPr>
          <w:rFonts w:cs="Calibri"/>
          <w:bCs/>
          <w:sz w:val="18"/>
          <w:szCs w:val="18"/>
        </w:rPr>
        <w:t xml:space="preserve">Explain to me…] </w:t>
      </w:r>
      <w:r w:rsidRPr="00303E1D">
        <w:rPr>
          <w:rFonts w:cs="Calibri"/>
          <w:sz w:val="18"/>
          <w:szCs w:val="18"/>
        </w:rPr>
        <w:t>It’s the shallow water – it’s v. rich water, v. diverse, it’s also the nursery area for a lot of commercial species of fish – so trawlers, working heavy gear in the inshore area is damaging the nursery and spawning areas – it’s also displacing the fisheries for the small inshore boats who can only work close to land anyway – so a couple of big industrial boats can ruin fishing inshore area v. quickly” [I06]</w:t>
      </w:r>
    </w:p>
    <w:p w:rsidR="003F789A" w:rsidRPr="00303E1D" w:rsidRDefault="003F789A" w:rsidP="004E27DC">
      <w:pPr>
        <w:keepNext/>
        <w:widowControl w:val="0"/>
        <w:autoSpaceDE w:val="0"/>
        <w:autoSpaceDN w:val="0"/>
        <w:adjustRightInd w:val="0"/>
        <w:spacing w:after="0" w:line="360" w:lineRule="auto"/>
        <w:ind w:left="440"/>
        <w:jc w:val="left"/>
        <w:rPr>
          <w:rFonts w:cs="Arial"/>
          <w:color w:val="000000"/>
          <w:sz w:val="18"/>
          <w:szCs w:val="18"/>
        </w:rPr>
      </w:pPr>
    </w:p>
    <w:p w:rsidR="003F789A" w:rsidRPr="00303E1D" w:rsidRDefault="003F789A" w:rsidP="004E27D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40"/>
        <w:jc w:val="left"/>
        <w:rPr>
          <w:rFonts w:cs="Calibri"/>
          <w:sz w:val="18"/>
          <w:szCs w:val="18"/>
        </w:rPr>
      </w:pPr>
      <w:r w:rsidRPr="00303E1D" w:rsidDel="007F2212">
        <w:rPr>
          <w:rFonts w:cs="Calibri"/>
          <w:sz w:val="18"/>
          <w:szCs w:val="18"/>
        </w:rPr>
        <w:t xml:space="preserve"> </w:t>
      </w:r>
      <w:r w:rsidRPr="00303E1D">
        <w:rPr>
          <w:rFonts w:cs="Calibri"/>
          <w:sz w:val="18"/>
          <w:szCs w:val="18"/>
        </w:rPr>
        <w:t>“If you put houses down close to the estuary you introduce disturbance – you introduce people with dogs, walkers, that which again people don’t realise it – dogs walk on the beach – there’s a group of birds you see the dog running through – scatters them (don’t pay any attention) they are roosting and they are intertidal roosters and they are trying to rest” [I07]</w:t>
      </w:r>
    </w:p>
    <w:p w:rsidR="003F789A" w:rsidRDefault="003F789A" w:rsidP="004E27DC">
      <w:pPr>
        <w:keepNext/>
        <w:tabs>
          <w:tab w:val="left" w:pos="880"/>
        </w:tabs>
        <w:spacing w:line="360" w:lineRule="auto"/>
        <w:jc w:val="left"/>
        <w:rPr>
          <w:i/>
          <w:sz w:val="20"/>
        </w:rPr>
      </w:pPr>
    </w:p>
    <w:p w:rsidR="003F789A" w:rsidRPr="008D1372" w:rsidRDefault="003F789A" w:rsidP="00E55058">
      <w:pPr>
        <w:keepNext/>
        <w:tabs>
          <w:tab w:val="left" w:pos="880"/>
        </w:tabs>
        <w:spacing w:line="360" w:lineRule="auto"/>
        <w:rPr>
          <w:b/>
          <w:sz w:val="20"/>
        </w:rPr>
      </w:pPr>
      <w:r w:rsidRPr="008D1372">
        <w:rPr>
          <w:b/>
          <w:sz w:val="20"/>
        </w:rPr>
        <w:t>Values Scoring</w:t>
      </w:r>
    </w:p>
    <w:p w:rsidR="003F789A" w:rsidRDefault="003F789A" w:rsidP="00E55058">
      <w:pPr>
        <w:keepNext/>
        <w:tabs>
          <w:tab w:val="left" w:pos="880"/>
        </w:tabs>
        <w:spacing w:line="360" w:lineRule="auto"/>
        <w:rPr>
          <w:sz w:val="20"/>
        </w:rPr>
      </w:pPr>
      <w:r w:rsidRPr="0005062B">
        <w:rPr>
          <w:sz w:val="20"/>
        </w:rPr>
        <w:t xml:space="preserve">At the end of the interviews each participant was given a copy of the bar chart illustrating the results of the scores from the workshops. The interviewees were asked if they wished to revise the scores up or down by drawing new scores on a scale of 1-10 on each bar of the chart for each of the two categories of value (Tangible values (community based) and Intangible values (personal)). This process also allowed the participants to reflect again on their values. The results of the scoring were </w:t>
      </w:r>
      <w:r w:rsidRPr="0005062B">
        <w:rPr>
          <w:sz w:val="20"/>
        </w:rPr>
        <w:lastRenderedPageBreak/>
        <w:t xml:space="preserve">totalled subsequently and aligned with the results of the original workshop. The process revealed changes in the value scoring for both Tangible (community) and Intangible (personal) values. Higher scores were recorded for all Intangible values during the interviews, indicating even stronger preferences for non-material values, with Inspiration, Heritage and Social/Community and Sense of Place values altering most.  The Tangible values scores revealed that the value Wildlife Value (Mammals/seabirds) is not as significant and has reduced but the value of angling in the estuaries and harbours has increased, along with the value of coastal flora. </w:t>
      </w:r>
    </w:p>
    <w:p w:rsidR="003F789A" w:rsidRDefault="003F789A" w:rsidP="00E55058">
      <w:pPr>
        <w:keepNext/>
        <w:tabs>
          <w:tab w:val="left" w:pos="880"/>
        </w:tabs>
        <w:spacing w:line="360" w:lineRule="auto"/>
        <w:rPr>
          <w:rFonts w:cs="Calibri"/>
          <w:sz w:val="18"/>
          <w:szCs w:val="18"/>
        </w:rPr>
      </w:pPr>
    </w:p>
    <w:p w:rsidR="003F789A" w:rsidRPr="00303E1D" w:rsidRDefault="003F789A" w:rsidP="00E55058">
      <w:pPr>
        <w:keepNext/>
        <w:tabs>
          <w:tab w:val="left" w:pos="880"/>
        </w:tabs>
        <w:spacing w:line="360" w:lineRule="auto"/>
        <w:rPr>
          <w:rFonts w:cs="Calibri"/>
          <w:sz w:val="18"/>
          <w:szCs w:val="18"/>
        </w:rPr>
      </w:pPr>
      <w:r w:rsidRPr="00303E1D">
        <w:rPr>
          <w:rFonts w:cs="Calibri"/>
          <w:sz w:val="18"/>
          <w:szCs w:val="18"/>
        </w:rPr>
        <w:t xml:space="preserve">Figure 2: Comparison between first and second valuations across all values </w:t>
      </w:r>
    </w:p>
    <w:p w:rsidR="003F789A" w:rsidRPr="0005062B" w:rsidRDefault="008C4819" w:rsidP="00E55058">
      <w:pPr>
        <w:keepNext/>
        <w:tabs>
          <w:tab w:val="left" w:pos="880"/>
        </w:tabs>
        <w:spacing w:line="360" w:lineRule="auto"/>
        <w:rPr>
          <w:sz w:val="20"/>
        </w:rPr>
      </w:pPr>
      <w:r>
        <w:rPr>
          <w:noProof/>
          <w:sz w:val="20"/>
          <w:lang w:val="en-IE" w:eastAsia="en-IE"/>
        </w:rPr>
        <w:drawing>
          <wp:inline distT="0" distB="0" distL="0" distR="0">
            <wp:extent cx="4181475" cy="2007235"/>
            <wp:effectExtent l="19050" t="19050" r="28575" b="12065"/>
            <wp:docPr id="4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38">
                      <a:extLst>
                        <a:ext uri="{28A0092B-C50C-407E-A947-70E740481C1C}">
                          <a14:useLocalDpi xmlns:a14="http://schemas.microsoft.com/office/drawing/2010/main" val="0"/>
                        </a:ext>
                      </a:extLst>
                    </a:blip>
                    <a:srcRect b="-102"/>
                    <a:stretch>
                      <a:fillRect/>
                    </a:stretch>
                  </pic:blipFill>
                  <pic:spPr bwMode="auto">
                    <a:xfrm>
                      <a:off x="0" y="0"/>
                      <a:ext cx="4181475" cy="2007235"/>
                    </a:xfrm>
                    <a:prstGeom prst="rect">
                      <a:avLst/>
                    </a:prstGeom>
                    <a:noFill/>
                    <a:ln w="6350" cmpd="sng">
                      <a:solidFill>
                        <a:srgbClr val="000000"/>
                      </a:solidFill>
                      <a:miter lim="800000"/>
                      <a:headEnd/>
                      <a:tailEnd/>
                    </a:ln>
                    <a:effectLst/>
                  </pic:spPr>
                </pic:pic>
              </a:graphicData>
            </a:graphic>
          </wp:inline>
        </w:drawing>
      </w:r>
    </w:p>
    <w:p w:rsidR="003F789A" w:rsidRPr="0005062B" w:rsidRDefault="008C4819" w:rsidP="00E55058">
      <w:pPr>
        <w:keepNext/>
        <w:tabs>
          <w:tab w:val="left" w:pos="880"/>
        </w:tabs>
        <w:spacing w:line="360" w:lineRule="auto"/>
        <w:rPr>
          <w:rFonts w:cs="Calibri"/>
          <w:sz w:val="20"/>
        </w:rPr>
      </w:pPr>
      <w:r>
        <w:rPr>
          <w:noProof/>
          <w:sz w:val="20"/>
          <w:lang w:val="en-IE" w:eastAsia="en-IE"/>
        </w:rPr>
        <w:drawing>
          <wp:inline distT="0" distB="0" distL="0" distR="0">
            <wp:extent cx="4181475" cy="1951355"/>
            <wp:effectExtent l="19050" t="19050" r="28575" b="10795"/>
            <wp:docPr id="4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1951355"/>
                    </a:xfrm>
                    <a:prstGeom prst="rect">
                      <a:avLst/>
                    </a:prstGeom>
                    <a:noFill/>
                    <a:ln w="6350" cmpd="sng">
                      <a:solidFill>
                        <a:srgbClr val="000000"/>
                      </a:solidFill>
                      <a:miter lim="800000"/>
                      <a:headEnd/>
                      <a:tailEnd/>
                    </a:ln>
                    <a:effectLst/>
                  </pic:spPr>
                </pic:pic>
              </a:graphicData>
            </a:graphic>
          </wp:inline>
        </w:drawing>
      </w:r>
    </w:p>
    <w:p w:rsidR="003F789A" w:rsidRDefault="003F789A" w:rsidP="00E55058">
      <w:pPr>
        <w:keepNext/>
        <w:tabs>
          <w:tab w:val="left" w:pos="880"/>
        </w:tabs>
        <w:spacing w:line="360" w:lineRule="auto"/>
        <w:rPr>
          <w:bCs/>
          <w:sz w:val="20"/>
        </w:rPr>
      </w:pPr>
    </w:p>
    <w:p w:rsidR="003F789A" w:rsidRDefault="003F789A" w:rsidP="0032165B">
      <w:pPr>
        <w:pStyle w:val="Heading3"/>
        <w:numPr>
          <w:ilvl w:val="2"/>
          <w:numId w:val="44"/>
        </w:numPr>
        <w:suppressAutoHyphens w:val="0"/>
        <w:spacing w:before="240" w:line="276" w:lineRule="auto"/>
        <w:ind w:left="851" w:right="-1" w:hanging="851"/>
      </w:pPr>
      <w:bookmarkStart w:id="178" w:name="_Toc436757170"/>
      <w:bookmarkStart w:id="179" w:name="_Toc436758109"/>
      <w:r>
        <w:rPr>
          <w:bCs/>
        </w:rPr>
        <w:t xml:space="preserve"> </w:t>
      </w:r>
      <w:bookmarkStart w:id="180" w:name="_Toc436915643"/>
      <w:bookmarkStart w:id="181" w:name="_Toc436916082"/>
      <w:r w:rsidRPr="0005062B">
        <w:rPr>
          <w:bCs/>
        </w:rPr>
        <w:t>Discussion – Learning from SCV and key findings about the process</w:t>
      </w:r>
      <w:bookmarkEnd w:id="178"/>
      <w:bookmarkEnd w:id="179"/>
      <w:bookmarkEnd w:id="180"/>
      <w:bookmarkEnd w:id="181"/>
      <w:r w:rsidRPr="0005062B">
        <w:rPr>
          <w:bCs/>
        </w:rPr>
        <w:t xml:space="preserve"> </w:t>
      </w:r>
    </w:p>
    <w:p w:rsidR="003F789A" w:rsidRDefault="003F789A" w:rsidP="00230119">
      <w:pPr>
        <w:pStyle w:val="NoSpacing"/>
        <w:keepNext/>
        <w:tabs>
          <w:tab w:val="left" w:pos="880"/>
        </w:tabs>
        <w:spacing w:line="360" w:lineRule="auto"/>
        <w:jc w:val="both"/>
        <w:rPr>
          <w:rFonts w:ascii="Arial" w:hAnsi="Arial"/>
          <w:sz w:val="20"/>
        </w:rPr>
      </w:pPr>
    </w:p>
    <w:p w:rsidR="003F789A" w:rsidRPr="0005062B" w:rsidRDefault="003F789A" w:rsidP="00230119">
      <w:pPr>
        <w:pStyle w:val="NoSpacing"/>
        <w:keepNext/>
        <w:tabs>
          <w:tab w:val="left" w:pos="880"/>
        </w:tabs>
        <w:spacing w:line="360" w:lineRule="auto"/>
        <w:jc w:val="both"/>
        <w:rPr>
          <w:rFonts w:ascii="Arial" w:hAnsi="Arial" w:cs="Tahoma"/>
          <w:sz w:val="20"/>
        </w:rPr>
      </w:pPr>
      <w:r w:rsidRPr="00DE721C">
        <w:rPr>
          <w:rFonts w:ascii="Arial" w:hAnsi="Arial" w:cs="Arial"/>
          <w:sz w:val="20"/>
          <w:szCs w:val="20"/>
        </w:rPr>
        <w:t>The SCV of ES is intended as a mechanism to provide information on the value of ES from a human benefits perspective so that decision makers can make more balanced, informed decisions. The literature demonstrates that there are various different approaches to SCV with varying types of outputs including value maps, value ranking tables, network diagrams – all representing values in</w:t>
      </w:r>
      <w:r w:rsidRPr="00DE721C">
        <w:t xml:space="preserve"> </w:t>
      </w:r>
      <w:r w:rsidRPr="0005062B">
        <w:rPr>
          <w:rFonts w:ascii="Arial" w:hAnsi="Arial"/>
          <w:sz w:val="20"/>
        </w:rPr>
        <w:lastRenderedPageBreak/>
        <w:t>different value formats</w:t>
      </w:r>
      <w:r w:rsidRPr="0005062B">
        <w:rPr>
          <w:rStyle w:val="FootnoteReference"/>
          <w:rFonts w:ascii="Arial" w:hAnsi="Arial"/>
          <w:bCs/>
          <w:sz w:val="20"/>
        </w:rPr>
        <w:footnoteReference w:id="2"/>
      </w:r>
      <w:r w:rsidRPr="0005062B">
        <w:rPr>
          <w:rFonts w:ascii="Arial" w:hAnsi="Arial"/>
          <w:sz w:val="20"/>
        </w:rPr>
        <w:t>. The UCD research examined a values assessment approach to draw out values. It had three aims (i) to test one approach to SCV valuation in practice (ii) to assess it as a consultation mechanism to understand human-environment interactions and (ii) to establish if the outputs of the process could provide information appropriate for decision making in the land use planning context. The results of the research demonstrate that stakeholders are positiv</w:t>
      </w:r>
      <w:r w:rsidR="00DE721C">
        <w:rPr>
          <w:rFonts w:ascii="Arial" w:hAnsi="Arial"/>
          <w:sz w:val="20"/>
        </w:rPr>
        <w:t>e about engaging in the process</w:t>
      </w:r>
      <w:r w:rsidRPr="0005062B">
        <w:rPr>
          <w:rFonts w:ascii="Arial" w:hAnsi="Arial"/>
          <w:sz w:val="20"/>
        </w:rPr>
        <w:t xml:space="preserve">. The merits of the approach go beyond generating data about values as it allows stakeholders to reflect on the values that they have for the ES in context. This reflective aspect can generate new knowledge about how these relationships can be enhanced or affected by changes in ES quality. SCV as a consultation mechanism is appropriate therefore for uncovering insights into what values are important as well as revealing how socio-ecological relationships can be enhanced. The SCV has the potential to transform public participation processes within planning by directing it at the examination of the human-nature interactions and the landscape of socio-cultural values related to ES, rather than primarily focusing on the consequences of land use change decisions at project or plan level, and their related impacts on </w:t>
      </w:r>
      <w:r>
        <w:rPr>
          <w:rFonts w:ascii="Arial" w:hAnsi="Arial"/>
          <w:sz w:val="20"/>
        </w:rPr>
        <w:t>the environment</w:t>
      </w:r>
      <w:r w:rsidRPr="0005062B">
        <w:rPr>
          <w:rFonts w:ascii="Arial" w:hAnsi="Arial"/>
          <w:sz w:val="20"/>
        </w:rPr>
        <w:t xml:space="preserve"> as currently required under Environmental Impact Assessment (EIA), Strategic Environmental Assessment (SEA) and the Habitats Directive. </w:t>
      </w:r>
      <w:r w:rsidRPr="0005062B">
        <w:rPr>
          <w:rFonts w:ascii="Arial" w:hAnsi="Arial" w:cs="Tahoma"/>
          <w:sz w:val="20"/>
        </w:rPr>
        <w:t xml:space="preserve">Fundamental to the ES approach, as promoted by the MA (2005) is the assessment of the web of interactions and relationships between ecosystems and people. This process of examining socio-ecological relationships reveals how changes in services can impact on the benefits that people enjoy from nature. This value based information is currently not sought after within existing consultation impact assessment arenas. SCV could therefore be an operational model that fills this gap as it is an opening-up mechanism that allows for the expression of perceptions and preferences of stakeholders towards nature. </w:t>
      </w:r>
    </w:p>
    <w:p w:rsidR="003F789A" w:rsidRPr="0005062B" w:rsidRDefault="003F789A" w:rsidP="00E55058">
      <w:pPr>
        <w:pStyle w:val="NoSpacing"/>
        <w:keepNext/>
        <w:tabs>
          <w:tab w:val="left" w:pos="880"/>
        </w:tabs>
        <w:spacing w:line="360" w:lineRule="auto"/>
        <w:rPr>
          <w:rFonts w:ascii="Arial" w:hAnsi="Arial" w:cs="Tahoma"/>
          <w:sz w:val="20"/>
        </w:rPr>
      </w:pPr>
    </w:p>
    <w:p w:rsidR="003F789A" w:rsidRPr="0005062B" w:rsidRDefault="003F789A" w:rsidP="00DE721C">
      <w:pPr>
        <w:pStyle w:val="NoSpacing"/>
        <w:keepNext/>
        <w:tabs>
          <w:tab w:val="left" w:pos="880"/>
        </w:tabs>
        <w:spacing w:line="360" w:lineRule="auto"/>
        <w:jc w:val="both"/>
        <w:rPr>
          <w:rFonts w:ascii="Arial" w:hAnsi="Arial"/>
          <w:sz w:val="20"/>
        </w:rPr>
      </w:pPr>
      <w:r w:rsidRPr="0005062B">
        <w:rPr>
          <w:rFonts w:ascii="Arial" w:hAnsi="Arial" w:cs="Tahoma"/>
          <w:sz w:val="20"/>
        </w:rPr>
        <w:t>On the other hand, t</w:t>
      </w:r>
      <w:r w:rsidRPr="0005062B">
        <w:rPr>
          <w:rFonts w:ascii="Arial" w:hAnsi="Arial"/>
          <w:sz w:val="20"/>
        </w:rPr>
        <w:t>he UCD field work has highlighted the diffi</w:t>
      </w:r>
      <w:r w:rsidR="00DE721C">
        <w:rPr>
          <w:rFonts w:ascii="Arial" w:hAnsi="Arial"/>
          <w:sz w:val="20"/>
        </w:rPr>
        <w:t xml:space="preserve">culty that stakeholders have </w:t>
      </w:r>
      <w:r w:rsidRPr="0005062B">
        <w:rPr>
          <w:rFonts w:ascii="Arial" w:hAnsi="Arial"/>
          <w:sz w:val="20"/>
        </w:rPr>
        <w:t>grasping the concept of ES and linking ES with values (see also</w:t>
      </w:r>
      <w:r w:rsidR="00DE721C">
        <w:rPr>
          <w:rFonts w:ascii="Arial" w:hAnsi="Arial"/>
          <w:sz w:val="20"/>
        </w:rPr>
        <w:t xml:space="preserve"> </w:t>
      </w:r>
      <w:r w:rsidRPr="0005062B">
        <w:rPr>
          <w:rFonts w:ascii="Arial" w:hAnsi="Arial"/>
          <w:sz w:val="20"/>
        </w:rPr>
        <w:t>Defra/Define Re</w:t>
      </w:r>
      <w:r w:rsidR="00DE721C">
        <w:rPr>
          <w:rFonts w:ascii="Arial" w:hAnsi="Arial"/>
          <w:sz w:val="20"/>
        </w:rPr>
        <w:t>search, 2007 and Fairbank et al</w:t>
      </w:r>
      <w:r w:rsidRPr="0005062B">
        <w:rPr>
          <w:rFonts w:ascii="Arial" w:hAnsi="Arial"/>
          <w:sz w:val="20"/>
        </w:rPr>
        <w:t xml:space="preserve">, 2010). In order to use the approach as a mechanism for deliberative decision making involving stakeholders it will be necessary to convert the ES construct (i.e. ES services flows become ES values) into a form of visible, relatable services in the local context (see for example </w:t>
      </w:r>
      <w:r w:rsidRPr="0005062B">
        <w:rPr>
          <w:rFonts w:ascii="Arial" w:hAnsi="Arial" w:cs="Segoe UI"/>
          <w:sz w:val="20"/>
        </w:rPr>
        <w:t>Cáceres et al 2015</w:t>
      </w:r>
      <w:r w:rsidRPr="0005062B">
        <w:rPr>
          <w:rFonts w:ascii="Arial" w:hAnsi="Arial" w:cs="Segoe UI"/>
          <w:sz w:val="20"/>
          <w:szCs w:val="18"/>
        </w:rPr>
        <w:t>)</w:t>
      </w:r>
      <w:r w:rsidRPr="0005062B">
        <w:rPr>
          <w:rFonts w:ascii="Arial" w:hAnsi="Arial"/>
          <w:sz w:val="20"/>
        </w:rPr>
        <w:t xml:space="preserve">. Only by doing so can stakeholders begin to consider and articulate the impact of change on their local environment from an ES perspective. </w:t>
      </w:r>
    </w:p>
    <w:p w:rsidR="003F789A" w:rsidRPr="00303E1D" w:rsidRDefault="003F789A" w:rsidP="00E55058">
      <w:pPr>
        <w:pStyle w:val="NoSpacing"/>
        <w:keepNext/>
        <w:tabs>
          <w:tab w:val="left" w:pos="880"/>
        </w:tabs>
        <w:spacing w:line="360" w:lineRule="auto"/>
        <w:rPr>
          <w:rFonts w:ascii="Arial" w:hAnsi="Arial"/>
          <w:i/>
          <w:sz w:val="20"/>
        </w:rPr>
      </w:pPr>
    </w:p>
    <w:p w:rsidR="003F789A" w:rsidRPr="008D1372" w:rsidRDefault="003F789A" w:rsidP="00E55058">
      <w:pPr>
        <w:keepNext/>
        <w:tabs>
          <w:tab w:val="left" w:pos="880"/>
        </w:tabs>
        <w:spacing w:line="360" w:lineRule="auto"/>
        <w:rPr>
          <w:rFonts w:cs="Tahoma"/>
          <w:b/>
          <w:sz w:val="20"/>
        </w:rPr>
      </w:pPr>
      <w:r w:rsidRPr="008D1372">
        <w:rPr>
          <w:rFonts w:cs="Tahoma"/>
          <w:b/>
          <w:sz w:val="20"/>
        </w:rPr>
        <w:t xml:space="preserve">Key Learning Messages </w:t>
      </w:r>
    </w:p>
    <w:p w:rsidR="003F789A" w:rsidRPr="0005062B" w:rsidRDefault="003F789A" w:rsidP="00E55058">
      <w:pPr>
        <w:keepNext/>
        <w:tabs>
          <w:tab w:val="left" w:pos="880"/>
        </w:tabs>
        <w:spacing w:line="360" w:lineRule="auto"/>
        <w:rPr>
          <w:sz w:val="20"/>
        </w:rPr>
      </w:pPr>
      <w:r w:rsidRPr="0005062B">
        <w:rPr>
          <w:sz w:val="20"/>
        </w:rPr>
        <w:t xml:space="preserve">1. SCV as a </w:t>
      </w:r>
      <w:r w:rsidRPr="0005062B">
        <w:rPr>
          <w:sz w:val="20"/>
          <w:u w:val="single"/>
        </w:rPr>
        <w:t>participatory</w:t>
      </w:r>
      <w:r w:rsidRPr="0005062B">
        <w:rPr>
          <w:sz w:val="20"/>
        </w:rPr>
        <w:t xml:space="preserve"> </w:t>
      </w:r>
      <w:r w:rsidRPr="0005062B">
        <w:rPr>
          <w:sz w:val="20"/>
          <w:u w:val="single"/>
        </w:rPr>
        <w:t>process</w:t>
      </w:r>
      <w:r w:rsidRPr="0005062B">
        <w:rPr>
          <w:sz w:val="20"/>
        </w:rPr>
        <w:t xml:space="preserve"> is important as it provides a platform for stakeholders to express their values openly in a non-adversarial forum. SCV of ES has a ‘boundary effect’ that channels stakeholders into thinking about their relationship with nature and the impact of change on the </w:t>
      </w:r>
      <w:r w:rsidRPr="0005062B">
        <w:rPr>
          <w:sz w:val="20"/>
        </w:rPr>
        <w:lastRenderedPageBreak/>
        <w:t>benefits that they receive, rather than focussing on issues of conflict in valuation style consultation processes.</w:t>
      </w:r>
    </w:p>
    <w:p w:rsidR="003F789A" w:rsidRPr="0005062B" w:rsidRDefault="003F789A" w:rsidP="00E55058">
      <w:pPr>
        <w:keepNext/>
        <w:tabs>
          <w:tab w:val="left" w:pos="880"/>
        </w:tabs>
        <w:spacing w:line="360" w:lineRule="auto"/>
        <w:rPr>
          <w:sz w:val="20"/>
        </w:rPr>
      </w:pPr>
      <w:r w:rsidRPr="0005062B">
        <w:rPr>
          <w:sz w:val="20"/>
        </w:rPr>
        <w:t xml:space="preserve">2. The </w:t>
      </w:r>
      <w:r w:rsidRPr="0005062B">
        <w:rPr>
          <w:sz w:val="20"/>
          <w:u w:val="single"/>
        </w:rPr>
        <w:t>valuation assessment</w:t>
      </w:r>
      <w:r w:rsidRPr="0005062B">
        <w:rPr>
          <w:sz w:val="20"/>
        </w:rPr>
        <w:t xml:space="preserve"> can provide information on value preferences within a given area but this does necessarily enable participants to connect with the value-ES linkages per se. In order to overcome this and allow for cognitive development about ES-value linkages, facilitators must track these links in the valuation context during assessments so that participants can directly relate their values in be a tangible way to the ES services supporting each value. </w:t>
      </w:r>
    </w:p>
    <w:p w:rsidR="003F789A" w:rsidRPr="0005062B" w:rsidRDefault="003F789A" w:rsidP="00E55058">
      <w:pPr>
        <w:keepNext/>
        <w:tabs>
          <w:tab w:val="left" w:pos="880"/>
        </w:tabs>
        <w:spacing w:line="360" w:lineRule="auto"/>
        <w:rPr>
          <w:sz w:val="20"/>
        </w:rPr>
      </w:pPr>
      <w:r w:rsidRPr="0005062B">
        <w:rPr>
          <w:sz w:val="20"/>
        </w:rPr>
        <w:t xml:space="preserve">3. </w:t>
      </w:r>
      <w:r w:rsidRPr="0005062B">
        <w:rPr>
          <w:sz w:val="20"/>
          <w:u w:val="single"/>
        </w:rPr>
        <w:t xml:space="preserve">SC Valuation assessment </w:t>
      </w:r>
      <w:r w:rsidRPr="0005062B">
        <w:rPr>
          <w:sz w:val="20"/>
        </w:rPr>
        <w:t>does not in itself enable participants to consider the relative importance of ES. Rather SC</w:t>
      </w:r>
      <w:r>
        <w:rPr>
          <w:sz w:val="20"/>
        </w:rPr>
        <w:t>V</w:t>
      </w:r>
      <w:r w:rsidRPr="0005062B">
        <w:rPr>
          <w:sz w:val="20"/>
        </w:rPr>
        <w:t xml:space="preserve"> should be used as an opening up mechanism for deliberative processes, highlighting the values that exist within a given setting. In order for participants to use </w:t>
      </w:r>
      <w:r>
        <w:rPr>
          <w:sz w:val="20"/>
        </w:rPr>
        <w:t>ES</w:t>
      </w:r>
      <w:r w:rsidRPr="0005062B">
        <w:rPr>
          <w:sz w:val="20"/>
        </w:rPr>
        <w:t xml:space="preserve">s as decision criteria, ES-to-value linkages must be made either collaboratively with natural science experts through the creation of network diagrams, or demonstrated to them by other means, so that they can use this knowledge as the criteria for decision making. </w:t>
      </w:r>
    </w:p>
    <w:p w:rsidR="003F789A" w:rsidRPr="0005062B" w:rsidRDefault="003F789A" w:rsidP="00E55058">
      <w:pPr>
        <w:keepNext/>
        <w:tabs>
          <w:tab w:val="left" w:pos="880"/>
        </w:tabs>
        <w:spacing w:line="360" w:lineRule="auto"/>
        <w:rPr>
          <w:sz w:val="20"/>
        </w:rPr>
      </w:pPr>
      <w:r w:rsidRPr="0005062B">
        <w:rPr>
          <w:sz w:val="20"/>
        </w:rPr>
        <w:t xml:space="preserve">4. </w:t>
      </w:r>
      <w:r w:rsidRPr="0005062B">
        <w:rPr>
          <w:sz w:val="20"/>
          <w:u w:val="single"/>
        </w:rPr>
        <w:t>Qualitative assessment of SCVs</w:t>
      </w:r>
      <w:r w:rsidRPr="0005062B">
        <w:rPr>
          <w:sz w:val="20"/>
        </w:rPr>
        <w:t xml:space="preserve"> using semi-structured interviews and engaging participants individually with the scoring of values prompts them to reflect on current, past and future values. This process can provide feedback on perceptions about the overall management of the ES in the context in question. If stakeholders consider that they could score values higher if improvements were made to the management of natural assets,  the quality of the ecosystem, or in environmental education , this suggests a conduit through which people’s local knowledge can be applied to realise higher ES benefits .   </w:t>
      </w:r>
    </w:p>
    <w:p w:rsidR="003F789A" w:rsidRPr="0005062B" w:rsidRDefault="003F789A" w:rsidP="00E55058">
      <w:pPr>
        <w:keepNext/>
        <w:tabs>
          <w:tab w:val="left" w:pos="880"/>
        </w:tabs>
        <w:autoSpaceDE w:val="0"/>
        <w:autoSpaceDN w:val="0"/>
        <w:adjustRightInd w:val="0"/>
        <w:spacing w:after="0" w:line="360" w:lineRule="auto"/>
        <w:rPr>
          <w:sz w:val="20"/>
        </w:rPr>
      </w:pPr>
      <w:r w:rsidRPr="0005062B">
        <w:rPr>
          <w:rFonts w:cs="Tahoma"/>
          <w:bCs/>
          <w:color w:val="000000"/>
          <w:sz w:val="20"/>
        </w:rPr>
        <w:t>5.</w:t>
      </w:r>
      <w:r w:rsidRPr="0005062B">
        <w:rPr>
          <w:rFonts w:cs="Tahoma"/>
          <w:bCs/>
          <w:color w:val="000000"/>
          <w:sz w:val="20"/>
          <w:u w:val="single"/>
        </w:rPr>
        <w:t xml:space="preserve"> Mapping of values</w:t>
      </w:r>
      <w:r w:rsidRPr="0005062B">
        <w:rPr>
          <w:rFonts w:cs="Tahoma"/>
          <w:bCs/>
          <w:color w:val="000000"/>
          <w:sz w:val="20"/>
        </w:rPr>
        <w:t xml:space="preserve"> as part of a valuation assessment , allows participants to reflect on those places which are important to them as well as learning about the plurality of values within a given setting. The maps created through such a process could be scaled up and integrated into GIS maps so that decision makers can identify where value bundles exist, indicating value demands of stakeholders. This information may be used by decision makers to consider </w:t>
      </w:r>
      <w:r w:rsidRPr="0005062B">
        <w:rPr>
          <w:sz w:val="20"/>
        </w:rPr>
        <w:t xml:space="preserve">management arrangements for ES so that they are improved, conserved or protected, to support value demands. Alternatively, maps can be used to provide information on conflicts between value demands and current or planned land uses. </w:t>
      </w:r>
    </w:p>
    <w:p w:rsidR="003F789A" w:rsidRPr="0005062B" w:rsidRDefault="003F789A" w:rsidP="00E55058">
      <w:pPr>
        <w:keepNext/>
        <w:tabs>
          <w:tab w:val="left" w:pos="880"/>
        </w:tabs>
        <w:autoSpaceDE w:val="0"/>
        <w:autoSpaceDN w:val="0"/>
        <w:adjustRightInd w:val="0"/>
        <w:spacing w:after="0" w:line="360" w:lineRule="auto"/>
        <w:rPr>
          <w:rFonts w:cs="Tahoma"/>
          <w:bCs/>
          <w:color w:val="000000"/>
          <w:sz w:val="20"/>
        </w:rPr>
      </w:pPr>
    </w:p>
    <w:p w:rsidR="003F789A" w:rsidRPr="0005062B" w:rsidRDefault="003F789A" w:rsidP="00E55058">
      <w:pPr>
        <w:keepNext/>
        <w:tabs>
          <w:tab w:val="left" w:pos="880"/>
        </w:tabs>
        <w:autoSpaceDE w:val="0"/>
        <w:autoSpaceDN w:val="0"/>
        <w:adjustRightInd w:val="0"/>
        <w:spacing w:after="0" w:line="360" w:lineRule="auto"/>
        <w:rPr>
          <w:rFonts w:cs="Tahoma"/>
          <w:bCs/>
          <w:color w:val="000000"/>
          <w:sz w:val="20"/>
        </w:rPr>
      </w:pPr>
      <w:r w:rsidRPr="0005062B">
        <w:rPr>
          <w:rFonts w:cs="Tahoma"/>
          <w:bCs/>
          <w:color w:val="000000"/>
          <w:sz w:val="20"/>
        </w:rPr>
        <w:t xml:space="preserve">6. </w:t>
      </w:r>
      <w:r w:rsidRPr="0005062B">
        <w:rPr>
          <w:rFonts w:cs="Tahoma"/>
          <w:bCs/>
          <w:color w:val="000000"/>
          <w:sz w:val="20"/>
          <w:u w:val="single"/>
        </w:rPr>
        <w:t>The SCV knowledge</w:t>
      </w:r>
      <w:r w:rsidRPr="0005062B">
        <w:rPr>
          <w:rFonts w:cs="Tahoma"/>
          <w:bCs/>
          <w:color w:val="000000"/>
          <w:sz w:val="20"/>
        </w:rPr>
        <w:t xml:space="preserve"> generated about those places that are considered to be most important, through the identification of value bundles or density of single values on maps, can inform land-use decision makers about what values will be disrupted if there is land-use change ex-ante before these decisions take place. This will provide decision makers with more nuanced information about the arena of contestation when decisions have to be taken. Knowing what is at stake will allow them to examine alternative plans or to negotiate trade-offs.</w:t>
      </w:r>
    </w:p>
    <w:p w:rsidR="003F789A" w:rsidRPr="0005062B" w:rsidRDefault="003F789A" w:rsidP="00E55058">
      <w:pPr>
        <w:keepNext/>
        <w:tabs>
          <w:tab w:val="left" w:pos="880"/>
        </w:tabs>
        <w:autoSpaceDE w:val="0"/>
        <w:autoSpaceDN w:val="0"/>
        <w:adjustRightInd w:val="0"/>
        <w:spacing w:after="0" w:line="360" w:lineRule="auto"/>
        <w:rPr>
          <w:rFonts w:cs="Tahoma"/>
          <w:bCs/>
          <w:color w:val="000000"/>
          <w:sz w:val="20"/>
        </w:rPr>
      </w:pPr>
    </w:p>
    <w:p w:rsidR="003F789A" w:rsidRPr="0005062B" w:rsidRDefault="003F789A" w:rsidP="00E55058">
      <w:pPr>
        <w:keepNext/>
        <w:tabs>
          <w:tab w:val="left" w:pos="880"/>
        </w:tabs>
        <w:autoSpaceDE w:val="0"/>
        <w:autoSpaceDN w:val="0"/>
        <w:adjustRightInd w:val="0"/>
        <w:spacing w:after="0" w:line="360" w:lineRule="auto"/>
        <w:rPr>
          <w:rFonts w:cs="Tahoma"/>
          <w:bCs/>
          <w:color w:val="000000"/>
          <w:sz w:val="20"/>
        </w:rPr>
      </w:pPr>
      <w:r w:rsidRPr="0005062B">
        <w:rPr>
          <w:rFonts w:cs="Tahoma"/>
          <w:bCs/>
          <w:color w:val="000000"/>
          <w:sz w:val="20"/>
        </w:rPr>
        <w:t xml:space="preserve">7. </w:t>
      </w:r>
      <w:r w:rsidRPr="0005062B">
        <w:rPr>
          <w:rFonts w:cs="Tahoma"/>
          <w:bCs/>
          <w:color w:val="000000"/>
          <w:sz w:val="20"/>
          <w:u w:val="single"/>
        </w:rPr>
        <w:t>Qualitative assessment of values</w:t>
      </w:r>
      <w:r w:rsidRPr="0005062B">
        <w:rPr>
          <w:rFonts w:cs="Tahoma"/>
          <w:bCs/>
          <w:color w:val="000000"/>
          <w:sz w:val="20"/>
        </w:rPr>
        <w:t xml:space="preserve"> can uncover the perceptions that stakeholders have of socio-ecological relationships . It can draw out stakeholders’ viewpoints about the management of ES and </w:t>
      </w:r>
      <w:r w:rsidRPr="0005062B">
        <w:rPr>
          <w:rFonts w:cs="Tahoma"/>
          <w:bCs/>
          <w:color w:val="000000"/>
          <w:sz w:val="20"/>
        </w:rPr>
        <w:lastRenderedPageBreak/>
        <w:t xml:space="preserve">can provide some direction on how to improve these socio-ecological relationships so that people can derive more benefit from the ES. </w:t>
      </w:r>
    </w:p>
    <w:p w:rsidR="003F789A" w:rsidRDefault="003F789A" w:rsidP="00E55058">
      <w:pPr>
        <w:keepNext/>
        <w:tabs>
          <w:tab w:val="left" w:pos="880"/>
        </w:tabs>
        <w:spacing w:line="360" w:lineRule="auto"/>
        <w:rPr>
          <w:rFonts w:cs="Tahoma"/>
          <w:bCs/>
          <w:color w:val="000000"/>
          <w:sz w:val="20"/>
        </w:rPr>
      </w:pPr>
    </w:p>
    <w:p w:rsidR="003F789A" w:rsidRDefault="003F789A" w:rsidP="00E55058">
      <w:pPr>
        <w:keepNext/>
        <w:tabs>
          <w:tab w:val="left" w:pos="880"/>
        </w:tabs>
        <w:spacing w:line="360" w:lineRule="auto"/>
        <w:rPr>
          <w:rFonts w:cs="Tahoma"/>
          <w:bCs/>
          <w:color w:val="000000"/>
          <w:sz w:val="20"/>
        </w:rPr>
      </w:pPr>
    </w:p>
    <w:p w:rsidR="003F789A" w:rsidRDefault="003F789A" w:rsidP="00E55058">
      <w:pPr>
        <w:keepNext/>
        <w:tabs>
          <w:tab w:val="left" w:pos="880"/>
        </w:tabs>
        <w:spacing w:line="360" w:lineRule="auto"/>
        <w:rPr>
          <w:rFonts w:cs="Tahoma"/>
          <w:bCs/>
          <w:color w:val="000000"/>
          <w:sz w:val="20"/>
        </w:rPr>
      </w:pPr>
    </w:p>
    <w:p w:rsidR="003F789A" w:rsidRDefault="003F789A" w:rsidP="00E55058">
      <w:pPr>
        <w:keepNext/>
        <w:tabs>
          <w:tab w:val="left" w:pos="880"/>
        </w:tabs>
        <w:spacing w:line="360" w:lineRule="auto"/>
        <w:rPr>
          <w:rFonts w:cs="Tahoma"/>
          <w:bCs/>
          <w:color w:val="000000"/>
          <w:sz w:val="20"/>
        </w:rPr>
      </w:pPr>
    </w:p>
    <w:p w:rsidR="003F789A" w:rsidRPr="008D1372" w:rsidRDefault="003F789A" w:rsidP="008D1372">
      <w:pPr>
        <w:rPr>
          <w:color w:val="008000"/>
          <w:sz w:val="32"/>
        </w:rPr>
      </w:pPr>
      <w:bookmarkStart w:id="182" w:name="_Toc436757171"/>
      <w:bookmarkStart w:id="183" w:name="_Toc436758110"/>
      <w:r w:rsidRPr="008D1372">
        <w:rPr>
          <w:color w:val="008000"/>
          <w:sz w:val="32"/>
        </w:rPr>
        <w:t>References</w:t>
      </w:r>
      <w:bookmarkEnd w:id="182"/>
      <w:bookmarkEnd w:id="183"/>
    </w:p>
    <w:p w:rsidR="003F789A" w:rsidRPr="00E644DE" w:rsidRDefault="003F789A" w:rsidP="00E644DE"/>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Ash, N., Blanco, H., Brown, C., Garcia, K., </w:t>
      </w:r>
      <w:proofErr w:type="spellStart"/>
      <w:r w:rsidRPr="005021E7">
        <w:rPr>
          <w:rFonts w:cs="Arial"/>
          <w:sz w:val="20"/>
        </w:rPr>
        <w:t>Henrichs</w:t>
      </w:r>
      <w:proofErr w:type="spellEnd"/>
      <w:r w:rsidRPr="005021E7">
        <w:rPr>
          <w:rFonts w:cs="Arial"/>
          <w:sz w:val="20"/>
        </w:rPr>
        <w:t xml:space="preserve">, T., Lucas, N., </w:t>
      </w:r>
      <w:proofErr w:type="spellStart"/>
      <w:r w:rsidRPr="005021E7">
        <w:rPr>
          <w:rFonts w:cs="Arial"/>
          <w:sz w:val="20"/>
        </w:rPr>
        <w:t>Raudsepp</w:t>
      </w:r>
      <w:proofErr w:type="spellEnd"/>
      <w:r w:rsidRPr="005021E7">
        <w:rPr>
          <w:rFonts w:cs="Arial"/>
          <w:sz w:val="20"/>
        </w:rPr>
        <w:t xml:space="preserve">-Hearne, R., &amp; Simpson, D., Scholes, R., </w:t>
      </w:r>
      <w:proofErr w:type="spellStart"/>
      <w:r w:rsidRPr="005021E7">
        <w:rPr>
          <w:rFonts w:cs="Arial"/>
          <w:sz w:val="20"/>
        </w:rPr>
        <w:t>Tomich</w:t>
      </w:r>
      <w:proofErr w:type="spellEnd"/>
      <w:r w:rsidRPr="005021E7">
        <w:rPr>
          <w:rFonts w:cs="Arial"/>
          <w:sz w:val="20"/>
        </w:rPr>
        <w:t xml:space="preserve">, T., </w:t>
      </w:r>
      <w:proofErr w:type="spellStart"/>
      <w:r w:rsidRPr="005021E7">
        <w:rPr>
          <w:rFonts w:cs="Arial"/>
          <w:sz w:val="20"/>
        </w:rPr>
        <w:t>Vira</w:t>
      </w:r>
      <w:proofErr w:type="spellEnd"/>
      <w:r w:rsidRPr="005021E7">
        <w:rPr>
          <w:rFonts w:cs="Arial"/>
          <w:sz w:val="20"/>
        </w:rPr>
        <w:t xml:space="preserve">, B., Zurek, M. (EDS.), 2010. 2010. </w:t>
      </w:r>
      <w:r w:rsidRPr="005021E7">
        <w:rPr>
          <w:rFonts w:cs="Arial"/>
          <w:i/>
          <w:iCs/>
          <w:sz w:val="20"/>
        </w:rPr>
        <w:t xml:space="preserve">Ecosystems and Human Wellbeing — A Manual for Assessment Practitioners, </w:t>
      </w:r>
      <w:r w:rsidRPr="005021E7">
        <w:rPr>
          <w:rFonts w:cs="Arial"/>
          <w:sz w:val="20"/>
        </w:rPr>
        <w:t>E. Island Press, Washington D.C.</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Bieling</w:t>
      </w:r>
      <w:proofErr w:type="spellEnd"/>
      <w:r w:rsidRPr="005021E7">
        <w:rPr>
          <w:rFonts w:cs="Arial"/>
          <w:sz w:val="20"/>
        </w:rPr>
        <w:t xml:space="preserve">, C. &amp; </w:t>
      </w:r>
      <w:proofErr w:type="spellStart"/>
      <w:r w:rsidRPr="005021E7">
        <w:rPr>
          <w:rFonts w:cs="Arial"/>
          <w:sz w:val="20"/>
        </w:rPr>
        <w:t>Plieninger</w:t>
      </w:r>
      <w:proofErr w:type="spellEnd"/>
      <w:r w:rsidRPr="005021E7">
        <w:rPr>
          <w:rFonts w:cs="Arial"/>
          <w:sz w:val="20"/>
        </w:rPr>
        <w:t xml:space="preserve">, T.2014. Cultural ecosystem services as revealed through short stories from residents of the </w:t>
      </w:r>
      <w:proofErr w:type="spellStart"/>
      <w:r w:rsidRPr="005021E7">
        <w:rPr>
          <w:rFonts w:cs="Arial"/>
          <w:sz w:val="20"/>
        </w:rPr>
        <w:t>Swabian</w:t>
      </w:r>
      <w:proofErr w:type="spellEnd"/>
      <w:r w:rsidRPr="005021E7">
        <w:rPr>
          <w:rFonts w:cs="Arial"/>
          <w:sz w:val="20"/>
        </w:rPr>
        <w:t xml:space="preserve"> Alb (Germany). </w:t>
      </w:r>
      <w:r w:rsidRPr="005021E7">
        <w:rPr>
          <w:rFonts w:cs="Arial"/>
          <w:i/>
          <w:iCs/>
          <w:sz w:val="20"/>
        </w:rPr>
        <w:t xml:space="preserve">Ecosystem Services </w:t>
      </w:r>
      <w:r w:rsidRPr="005021E7">
        <w:rPr>
          <w:rFonts w:cs="Arial"/>
          <w:sz w:val="20"/>
        </w:rPr>
        <w:t>8(0)</w:t>
      </w:r>
      <w:r w:rsidRPr="005021E7">
        <w:rPr>
          <w:rFonts w:cs="Arial"/>
          <w:bCs/>
          <w:sz w:val="20"/>
        </w:rPr>
        <w:t>,</w:t>
      </w:r>
      <w:r w:rsidRPr="005021E7">
        <w:rPr>
          <w:rFonts w:cs="Arial"/>
          <w:sz w:val="20"/>
        </w:rPr>
        <w:t xml:space="preserve"> 207-215.</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Boyd, J. &amp; Banzhaf, S. 2007. What are ecosystem services? The need for standardized  environmental accounting units. </w:t>
      </w:r>
      <w:r w:rsidRPr="005021E7">
        <w:rPr>
          <w:rFonts w:cs="Arial"/>
          <w:i/>
          <w:iCs/>
          <w:sz w:val="20"/>
        </w:rPr>
        <w:t>Ecological Economics,</w:t>
      </w:r>
      <w:r w:rsidRPr="005021E7">
        <w:rPr>
          <w:rFonts w:cs="Arial"/>
          <w:sz w:val="20"/>
        </w:rPr>
        <w:t xml:space="preserve"> 63</w:t>
      </w:r>
      <w:r w:rsidRPr="005021E7">
        <w:rPr>
          <w:rFonts w:cs="Arial"/>
          <w:bCs/>
          <w:sz w:val="20"/>
        </w:rPr>
        <w:t>,</w:t>
      </w:r>
      <w:r w:rsidRPr="005021E7">
        <w:rPr>
          <w:rFonts w:cs="Arial"/>
          <w:sz w:val="20"/>
        </w:rPr>
        <w:t xml:space="preserve"> 616-626.</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line="240" w:lineRule="auto"/>
        <w:ind w:left="567" w:hanging="567"/>
        <w:jc w:val="left"/>
        <w:rPr>
          <w:rFonts w:cs="Arial"/>
          <w:sz w:val="20"/>
        </w:rPr>
      </w:pPr>
      <w:proofErr w:type="spellStart"/>
      <w:r w:rsidRPr="005021E7">
        <w:rPr>
          <w:rFonts w:cs="Arial"/>
          <w:sz w:val="20"/>
        </w:rPr>
        <w:t>Cáceres</w:t>
      </w:r>
      <w:proofErr w:type="spellEnd"/>
      <w:r w:rsidRPr="005021E7">
        <w:rPr>
          <w:rFonts w:cs="Arial"/>
          <w:sz w:val="20"/>
        </w:rPr>
        <w:t xml:space="preserve">, D. M., </w:t>
      </w:r>
      <w:proofErr w:type="spellStart"/>
      <w:r w:rsidRPr="005021E7">
        <w:rPr>
          <w:rFonts w:cs="Arial"/>
          <w:sz w:val="20"/>
        </w:rPr>
        <w:t>Tapella</w:t>
      </w:r>
      <w:proofErr w:type="spellEnd"/>
      <w:r w:rsidRPr="005021E7">
        <w:rPr>
          <w:rFonts w:cs="Arial"/>
          <w:sz w:val="20"/>
        </w:rPr>
        <w:t xml:space="preserve">, E., </w:t>
      </w:r>
      <w:proofErr w:type="spellStart"/>
      <w:r w:rsidRPr="005021E7">
        <w:rPr>
          <w:rFonts w:cs="Arial"/>
          <w:sz w:val="20"/>
        </w:rPr>
        <w:t>Quétier</w:t>
      </w:r>
      <w:proofErr w:type="spellEnd"/>
      <w:r w:rsidRPr="005021E7">
        <w:rPr>
          <w:rFonts w:cs="Arial"/>
          <w:sz w:val="20"/>
        </w:rPr>
        <w:t xml:space="preserve">, F. &amp; </w:t>
      </w:r>
      <w:proofErr w:type="spellStart"/>
      <w:r w:rsidRPr="005021E7">
        <w:rPr>
          <w:rFonts w:cs="Arial"/>
          <w:sz w:val="20"/>
        </w:rPr>
        <w:t>Díaz</w:t>
      </w:r>
      <w:proofErr w:type="spellEnd"/>
      <w:r w:rsidRPr="005021E7">
        <w:rPr>
          <w:rFonts w:cs="Arial"/>
          <w:sz w:val="20"/>
        </w:rPr>
        <w:t xml:space="preserve">, S. 2015. The social value of biodiversity and ecosystem services from the perspectives of different social actors. </w:t>
      </w:r>
      <w:r w:rsidRPr="005021E7">
        <w:rPr>
          <w:rFonts w:cs="Arial"/>
          <w:i/>
          <w:iCs/>
          <w:sz w:val="20"/>
        </w:rPr>
        <w:t>Ecology and Society,</w:t>
      </w:r>
      <w:r w:rsidRPr="005021E7">
        <w:rPr>
          <w:rFonts w:cs="Arial"/>
          <w:sz w:val="20"/>
        </w:rPr>
        <w:t xml:space="preserve"> 20</w:t>
      </w:r>
      <w:r w:rsidRPr="005021E7">
        <w:rPr>
          <w:rFonts w:cs="Arial"/>
          <w:bCs/>
          <w:sz w:val="20"/>
        </w:rPr>
        <w:t>,</w:t>
      </w:r>
      <w:r w:rsidRPr="005021E7">
        <w:rPr>
          <w:rFonts w:cs="Arial"/>
          <w:sz w:val="20"/>
        </w:rPr>
        <w:t xml:space="preserve"> 62.</w:t>
      </w:r>
    </w:p>
    <w:p w:rsidR="003F789A" w:rsidRPr="005021E7" w:rsidRDefault="003F789A" w:rsidP="00DE0DB5">
      <w:pPr>
        <w:spacing w:line="240" w:lineRule="auto"/>
        <w:ind w:left="567" w:hanging="567"/>
        <w:jc w:val="left"/>
        <w:rPr>
          <w:rFonts w:cs="Arial"/>
          <w:sz w:val="20"/>
        </w:rPr>
      </w:pPr>
    </w:p>
    <w:p w:rsidR="003F789A" w:rsidRPr="005021E7" w:rsidRDefault="003F789A" w:rsidP="00DE0DB5">
      <w:pPr>
        <w:spacing w:line="240" w:lineRule="auto"/>
        <w:ind w:left="567" w:hanging="567"/>
        <w:jc w:val="left"/>
        <w:rPr>
          <w:rFonts w:cs="Arial"/>
          <w:sz w:val="20"/>
        </w:rPr>
      </w:pPr>
      <w:proofErr w:type="spellStart"/>
      <w:r w:rsidRPr="005021E7">
        <w:rPr>
          <w:rFonts w:cs="Arial"/>
          <w:sz w:val="20"/>
        </w:rPr>
        <w:t>Chiesura</w:t>
      </w:r>
      <w:proofErr w:type="spellEnd"/>
      <w:r w:rsidRPr="005021E7">
        <w:rPr>
          <w:rFonts w:cs="Arial"/>
          <w:sz w:val="20"/>
        </w:rPr>
        <w:t xml:space="preserve">, A. &amp; De Groot, R. 2003. Critical natural capital: a socio-cultural perspective. </w:t>
      </w:r>
      <w:r w:rsidRPr="005021E7">
        <w:rPr>
          <w:rFonts w:cs="Arial"/>
          <w:i/>
          <w:iCs/>
          <w:sz w:val="20"/>
        </w:rPr>
        <w:t>Ecological Economics,</w:t>
      </w:r>
      <w:r w:rsidRPr="005021E7">
        <w:rPr>
          <w:rFonts w:cs="Arial"/>
          <w:sz w:val="20"/>
        </w:rPr>
        <w:t xml:space="preserve"> 44</w:t>
      </w:r>
      <w:r w:rsidRPr="005021E7">
        <w:rPr>
          <w:rFonts w:cs="Arial"/>
          <w:bCs/>
          <w:sz w:val="20"/>
        </w:rPr>
        <w:t>,</w:t>
      </w:r>
      <w:r w:rsidRPr="005021E7">
        <w:rPr>
          <w:rFonts w:cs="Arial"/>
          <w:sz w:val="20"/>
        </w:rPr>
        <w:t xml:space="preserve"> 219-231.</w:t>
      </w:r>
    </w:p>
    <w:p w:rsidR="003F789A" w:rsidRPr="005021E7" w:rsidRDefault="003F789A" w:rsidP="00DE0DB5">
      <w:pPr>
        <w:ind w:left="567" w:hanging="567"/>
        <w:jc w:val="left"/>
        <w:rPr>
          <w:rFonts w:cs="Arial"/>
          <w:sz w:val="20"/>
        </w:rPr>
      </w:pPr>
    </w:p>
    <w:p w:rsidR="003F789A" w:rsidRPr="005021E7" w:rsidRDefault="003F789A" w:rsidP="00DE0DB5">
      <w:pPr>
        <w:ind w:left="567" w:hanging="567"/>
        <w:jc w:val="left"/>
        <w:rPr>
          <w:rFonts w:cs="Arial"/>
          <w:sz w:val="20"/>
        </w:rPr>
      </w:pPr>
      <w:r w:rsidRPr="005021E7">
        <w:rPr>
          <w:rFonts w:cs="Arial"/>
          <w:sz w:val="20"/>
        </w:rPr>
        <w:t xml:space="preserve">Chan, K. M., </w:t>
      </w:r>
      <w:proofErr w:type="spellStart"/>
      <w:r w:rsidRPr="005021E7">
        <w:rPr>
          <w:rFonts w:cs="Arial"/>
          <w:sz w:val="20"/>
        </w:rPr>
        <w:t>Guerry</w:t>
      </w:r>
      <w:proofErr w:type="spellEnd"/>
      <w:r w:rsidRPr="005021E7">
        <w:rPr>
          <w:rFonts w:cs="Arial"/>
          <w:sz w:val="20"/>
        </w:rPr>
        <w:t xml:space="preserve">, A. D., </w:t>
      </w:r>
      <w:proofErr w:type="spellStart"/>
      <w:r w:rsidRPr="005021E7">
        <w:rPr>
          <w:rFonts w:cs="Arial"/>
          <w:sz w:val="20"/>
        </w:rPr>
        <w:t>Balvanera</w:t>
      </w:r>
      <w:proofErr w:type="spellEnd"/>
      <w:r w:rsidRPr="005021E7">
        <w:rPr>
          <w:rFonts w:cs="Arial"/>
          <w:sz w:val="20"/>
        </w:rPr>
        <w:t xml:space="preserve">, P., </w:t>
      </w:r>
      <w:proofErr w:type="spellStart"/>
      <w:r w:rsidRPr="005021E7">
        <w:rPr>
          <w:rFonts w:cs="Arial"/>
          <w:sz w:val="20"/>
        </w:rPr>
        <w:t>Klain</w:t>
      </w:r>
      <w:proofErr w:type="spellEnd"/>
      <w:r w:rsidRPr="005021E7">
        <w:rPr>
          <w:rFonts w:cs="Arial"/>
          <w:sz w:val="20"/>
        </w:rPr>
        <w:t xml:space="preserve">, S., Satterfield, T., </w:t>
      </w:r>
      <w:proofErr w:type="spellStart"/>
      <w:r w:rsidRPr="005021E7">
        <w:rPr>
          <w:rFonts w:cs="Arial"/>
          <w:sz w:val="20"/>
        </w:rPr>
        <w:t>Basurto</w:t>
      </w:r>
      <w:proofErr w:type="spellEnd"/>
      <w:r w:rsidRPr="005021E7">
        <w:rPr>
          <w:rFonts w:cs="Arial"/>
          <w:sz w:val="20"/>
        </w:rPr>
        <w:t xml:space="preserve">, X., </w:t>
      </w:r>
      <w:proofErr w:type="spellStart"/>
      <w:r w:rsidRPr="005021E7">
        <w:rPr>
          <w:rFonts w:cs="Arial"/>
          <w:sz w:val="20"/>
        </w:rPr>
        <w:t>Bostrom</w:t>
      </w:r>
      <w:proofErr w:type="spellEnd"/>
      <w:r w:rsidRPr="005021E7">
        <w:rPr>
          <w:rFonts w:cs="Arial"/>
          <w:sz w:val="20"/>
        </w:rPr>
        <w:t xml:space="preserve">, A., </w:t>
      </w:r>
      <w:proofErr w:type="spellStart"/>
      <w:r w:rsidRPr="005021E7">
        <w:rPr>
          <w:rFonts w:cs="Arial"/>
          <w:sz w:val="20"/>
        </w:rPr>
        <w:t>Chuenpagdee</w:t>
      </w:r>
      <w:proofErr w:type="spellEnd"/>
      <w:r w:rsidRPr="005021E7">
        <w:rPr>
          <w:rFonts w:cs="Arial"/>
          <w:sz w:val="20"/>
        </w:rPr>
        <w:t xml:space="preserve">, R., Gould, R. &amp; Halpern, B. S. 2012. Where are cultural and social in ecosystem services? A framework for constructive engagement. </w:t>
      </w:r>
      <w:proofErr w:type="spellStart"/>
      <w:r w:rsidRPr="005021E7">
        <w:rPr>
          <w:rFonts w:cs="Arial"/>
          <w:i/>
          <w:iCs/>
          <w:sz w:val="20"/>
        </w:rPr>
        <w:t>BioScience</w:t>
      </w:r>
      <w:proofErr w:type="spellEnd"/>
      <w:r w:rsidRPr="005021E7">
        <w:rPr>
          <w:rFonts w:cs="Arial"/>
          <w:i/>
          <w:iCs/>
          <w:sz w:val="20"/>
        </w:rPr>
        <w:t>,</w:t>
      </w:r>
      <w:r w:rsidRPr="005021E7">
        <w:rPr>
          <w:rFonts w:cs="Arial"/>
          <w:sz w:val="20"/>
        </w:rPr>
        <w:t xml:space="preserve"> 62</w:t>
      </w:r>
      <w:r w:rsidRPr="005021E7">
        <w:rPr>
          <w:rFonts w:cs="Arial"/>
          <w:b/>
          <w:bCs/>
          <w:sz w:val="20"/>
        </w:rPr>
        <w:t>,</w:t>
      </w:r>
      <w:r w:rsidRPr="005021E7">
        <w:rPr>
          <w:rFonts w:cs="Arial"/>
          <w:sz w:val="20"/>
        </w:rPr>
        <w:t xml:space="preserve"> 744-756.</w:t>
      </w:r>
    </w:p>
    <w:p w:rsidR="003F789A" w:rsidRPr="005021E7" w:rsidRDefault="003F789A" w:rsidP="00DE0DB5">
      <w:pPr>
        <w:spacing w:line="240" w:lineRule="auto"/>
        <w:ind w:left="567" w:hanging="567"/>
        <w:jc w:val="left"/>
        <w:rPr>
          <w:rFonts w:cs="Arial"/>
          <w:sz w:val="20"/>
        </w:rPr>
      </w:pPr>
    </w:p>
    <w:p w:rsidR="003F789A" w:rsidRPr="005021E7" w:rsidRDefault="003F789A" w:rsidP="00DE0DB5">
      <w:pPr>
        <w:spacing w:line="240" w:lineRule="auto"/>
        <w:ind w:left="567" w:hanging="567"/>
        <w:jc w:val="left"/>
        <w:rPr>
          <w:rFonts w:cs="Arial"/>
          <w:sz w:val="20"/>
        </w:rPr>
      </w:pPr>
      <w:r w:rsidRPr="005021E7">
        <w:rPr>
          <w:rFonts w:cs="Arial"/>
          <w:sz w:val="20"/>
        </w:rPr>
        <w:t xml:space="preserve">Council and European Parliament Directive 2001/42/ EC on the assessment of the effects of certain plans and programmes on the environment (SEA Directive).  </w:t>
      </w:r>
      <w:r w:rsidRPr="005021E7">
        <w:rPr>
          <w:rFonts w:cs="Arial"/>
          <w:i/>
          <w:sz w:val="20"/>
        </w:rPr>
        <w:t xml:space="preserve">Official Journal of the European Communities.  </w:t>
      </w:r>
      <w:r w:rsidRPr="005021E7">
        <w:rPr>
          <w:rFonts w:cs="Arial"/>
          <w:sz w:val="20"/>
        </w:rPr>
        <w:t xml:space="preserve">Official Journal. </w:t>
      </w:r>
      <w:r w:rsidRPr="005021E7">
        <w:rPr>
          <w:rFonts w:cs="Arial"/>
          <w:i/>
          <w:iCs/>
          <w:sz w:val="20"/>
        </w:rPr>
        <w:t xml:space="preserve">OJ L 197. </w:t>
      </w:r>
      <w:r w:rsidRPr="005021E7">
        <w:rPr>
          <w:rFonts w:cs="Arial"/>
          <w:sz w:val="20"/>
        </w:rPr>
        <w:t xml:space="preserve"> 27th June, 2001. pp30-38</w:t>
      </w:r>
    </w:p>
    <w:p w:rsidR="003F789A" w:rsidRPr="005021E7" w:rsidRDefault="003F789A" w:rsidP="00DE0DB5">
      <w:pPr>
        <w:spacing w:line="240" w:lineRule="auto"/>
        <w:ind w:left="567" w:hanging="567"/>
        <w:jc w:val="left"/>
        <w:rPr>
          <w:rFonts w:cs="Arial"/>
          <w:sz w:val="20"/>
        </w:rPr>
      </w:pPr>
    </w:p>
    <w:p w:rsidR="003F789A" w:rsidRPr="005021E7" w:rsidRDefault="003F789A" w:rsidP="00DE0DB5">
      <w:pPr>
        <w:spacing w:line="240" w:lineRule="auto"/>
        <w:ind w:left="567" w:hanging="567"/>
        <w:jc w:val="left"/>
        <w:rPr>
          <w:rFonts w:cs="Arial"/>
          <w:sz w:val="20"/>
        </w:rPr>
      </w:pPr>
      <w:r w:rsidRPr="005021E7">
        <w:rPr>
          <w:rFonts w:cs="Arial"/>
          <w:sz w:val="20"/>
        </w:rPr>
        <w:t xml:space="preserve">Council And European Parliament Directive 2014/52/EU amending Directive 2011/92/EU on the assessment of the effects of certain public and private projects on the environment (EIA Directive).  </w:t>
      </w:r>
      <w:r w:rsidRPr="005021E7">
        <w:rPr>
          <w:rFonts w:cs="Arial"/>
          <w:i/>
          <w:sz w:val="20"/>
        </w:rPr>
        <w:t>Official Journal of the European Communities.</w:t>
      </w:r>
      <w:r w:rsidRPr="005021E7">
        <w:rPr>
          <w:rFonts w:cs="Arial"/>
          <w:sz w:val="20"/>
        </w:rPr>
        <w:t xml:space="preserve"> OJ L 124. 25</w:t>
      </w:r>
      <w:r w:rsidRPr="005021E7">
        <w:rPr>
          <w:rFonts w:cs="Arial"/>
          <w:sz w:val="20"/>
          <w:vertAlign w:val="superscript"/>
        </w:rPr>
        <w:t xml:space="preserve">th </w:t>
      </w:r>
      <w:r w:rsidRPr="005021E7">
        <w:rPr>
          <w:rFonts w:cs="Arial"/>
          <w:sz w:val="20"/>
        </w:rPr>
        <w:t xml:space="preserve">April, 2014. pp1-18 </w:t>
      </w:r>
    </w:p>
    <w:p w:rsidR="003F789A" w:rsidRPr="005021E7" w:rsidRDefault="003F789A" w:rsidP="00DE0DB5">
      <w:pPr>
        <w:spacing w:after="0" w:line="240" w:lineRule="auto"/>
        <w:ind w:left="567" w:hanging="567"/>
        <w:jc w:val="left"/>
        <w:rPr>
          <w:rStyle w:val="Strong"/>
          <w:rFonts w:cs="Arial"/>
          <w:bCs/>
          <w:color w:val="000000"/>
          <w:sz w:val="20"/>
        </w:rPr>
      </w:pPr>
    </w:p>
    <w:p w:rsidR="003F789A" w:rsidRPr="005021E7" w:rsidRDefault="003F789A" w:rsidP="00DE0DB5">
      <w:pPr>
        <w:spacing w:after="0" w:line="240" w:lineRule="auto"/>
        <w:ind w:left="567" w:hanging="567"/>
        <w:jc w:val="left"/>
        <w:rPr>
          <w:rStyle w:val="apple-converted-space"/>
          <w:rFonts w:cs="Arial"/>
          <w:bCs/>
          <w:i/>
          <w:color w:val="000000"/>
          <w:sz w:val="20"/>
        </w:rPr>
      </w:pPr>
      <w:r w:rsidRPr="005021E7">
        <w:rPr>
          <w:rStyle w:val="Strong"/>
          <w:rFonts w:cs="Arial"/>
          <w:b w:val="0"/>
          <w:bCs/>
          <w:color w:val="000000"/>
          <w:sz w:val="20"/>
        </w:rPr>
        <w:t>Council Directive 92/43/EEC on the conservation of natural habitats and of wild fauna and flora</w:t>
      </w:r>
      <w:r w:rsidRPr="005021E7">
        <w:rPr>
          <w:rStyle w:val="apple-converted-space"/>
          <w:rFonts w:cs="Arial"/>
          <w:bCs/>
          <w:color w:val="000000"/>
          <w:sz w:val="20"/>
        </w:rPr>
        <w:t xml:space="preserve"> (Habitats Directive). </w:t>
      </w:r>
      <w:r w:rsidRPr="005021E7">
        <w:rPr>
          <w:rStyle w:val="apple-converted-space"/>
          <w:rFonts w:cs="Arial"/>
          <w:bCs/>
          <w:i/>
          <w:color w:val="000000"/>
          <w:sz w:val="20"/>
        </w:rPr>
        <w:t xml:space="preserve">Official Journal </w:t>
      </w:r>
      <w:r w:rsidRPr="005021E7">
        <w:rPr>
          <w:rStyle w:val="apple-converted-space"/>
          <w:rFonts w:cs="Arial"/>
          <w:bCs/>
          <w:color w:val="000000"/>
          <w:sz w:val="20"/>
        </w:rPr>
        <w:t>. OJ L</w:t>
      </w:r>
      <w:r w:rsidRPr="005021E7">
        <w:rPr>
          <w:rStyle w:val="apple-converted-space"/>
          <w:rFonts w:cs="Arial"/>
          <w:bCs/>
          <w:i/>
          <w:color w:val="000000"/>
          <w:sz w:val="20"/>
        </w:rPr>
        <w:t>206.  21</w:t>
      </w:r>
      <w:r w:rsidRPr="005021E7">
        <w:rPr>
          <w:rStyle w:val="apple-converted-space"/>
          <w:rFonts w:cs="Arial"/>
          <w:bCs/>
          <w:i/>
          <w:color w:val="000000"/>
          <w:sz w:val="20"/>
          <w:vertAlign w:val="superscript"/>
        </w:rPr>
        <w:t>ST</w:t>
      </w:r>
      <w:r w:rsidRPr="005021E7">
        <w:rPr>
          <w:rStyle w:val="apple-converted-space"/>
          <w:rFonts w:cs="Arial"/>
          <w:bCs/>
          <w:i/>
          <w:color w:val="000000"/>
          <w:sz w:val="20"/>
        </w:rPr>
        <w:t xml:space="preserve"> May, 1992. pp7-50</w:t>
      </w:r>
    </w:p>
    <w:p w:rsidR="003F789A" w:rsidRPr="005021E7" w:rsidRDefault="003F789A" w:rsidP="00DE0DB5">
      <w:pPr>
        <w:spacing w:line="240" w:lineRule="auto"/>
        <w:ind w:left="567" w:hanging="567"/>
        <w:jc w:val="left"/>
        <w:rPr>
          <w:rFonts w:cs="Arial"/>
          <w:sz w:val="20"/>
        </w:rPr>
      </w:pPr>
      <w:r w:rsidRPr="005021E7">
        <w:rPr>
          <w:rFonts w:cs="Arial"/>
          <w:color w:val="000000"/>
          <w:sz w:val="20"/>
        </w:rPr>
        <w:br/>
      </w:r>
      <w:r w:rsidRPr="005021E7">
        <w:rPr>
          <w:rFonts w:cs="Arial"/>
          <w:sz w:val="20"/>
        </w:rPr>
        <w:t xml:space="preserve">De Groot, R. S., Wilson, M. A. &amp; </w:t>
      </w:r>
      <w:proofErr w:type="spellStart"/>
      <w:r w:rsidRPr="005021E7">
        <w:rPr>
          <w:rFonts w:cs="Arial"/>
          <w:sz w:val="20"/>
        </w:rPr>
        <w:t>Boumans</w:t>
      </w:r>
      <w:proofErr w:type="spellEnd"/>
      <w:r w:rsidRPr="005021E7">
        <w:rPr>
          <w:rFonts w:cs="Arial"/>
          <w:sz w:val="20"/>
        </w:rPr>
        <w:t xml:space="preserve">, R. M. J. 2002. A typology for the classification, description and valuation of ecosystem functions goods and services.  </w:t>
      </w:r>
      <w:r w:rsidRPr="005021E7">
        <w:rPr>
          <w:rFonts w:cs="Arial"/>
          <w:i/>
          <w:iCs/>
          <w:sz w:val="20"/>
        </w:rPr>
        <w:t>Ecological Economics,</w:t>
      </w:r>
      <w:r w:rsidRPr="005021E7">
        <w:rPr>
          <w:rFonts w:cs="Arial"/>
          <w:sz w:val="20"/>
        </w:rPr>
        <w:t xml:space="preserve"> 41</w:t>
      </w:r>
      <w:r w:rsidRPr="005021E7">
        <w:rPr>
          <w:rFonts w:cs="Arial"/>
          <w:b/>
          <w:bCs/>
          <w:sz w:val="20"/>
        </w:rPr>
        <w:t>,</w:t>
      </w:r>
      <w:r w:rsidRPr="005021E7">
        <w:rPr>
          <w:rFonts w:cs="Arial"/>
          <w:sz w:val="20"/>
        </w:rPr>
        <w:t xml:space="preserve"> 393-408</w:t>
      </w:r>
    </w:p>
    <w:p w:rsidR="003F789A"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Define Research and Insights/Defra. 2007. Public understanding of the concepts and language</w:t>
      </w: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Around description and valuation of ecosystem functions, goods and services. Project NR0115.</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gramStart"/>
      <w:r w:rsidRPr="005021E7">
        <w:rPr>
          <w:rFonts w:cs="Arial"/>
          <w:sz w:val="20"/>
        </w:rPr>
        <w:t xml:space="preserve">Fairbank, Maslin, </w:t>
      </w:r>
      <w:proofErr w:type="spellStart"/>
      <w:r w:rsidRPr="005021E7">
        <w:rPr>
          <w:rFonts w:cs="Arial"/>
          <w:sz w:val="20"/>
        </w:rPr>
        <w:t>Maullin</w:t>
      </w:r>
      <w:proofErr w:type="spellEnd"/>
      <w:r w:rsidRPr="005021E7">
        <w:rPr>
          <w:rFonts w:cs="Arial"/>
          <w:sz w:val="20"/>
        </w:rPr>
        <w:t>, Metz &amp; Associates.</w:t>
      </w:r>
      <w:proofErr w:type="gramEnd"/>
      <w:r w:rsidRPr="005021E7">
        <w:rPr>
          <w:rFonts w:cs="Arial"/>
          <w:sz w:val="20"/>
        </w:rPr>
        <w:t xml:space="preserve"> 2010 For The Nature Conservancy. Key Findings from Recent National Opinion on Ecosystem Services Research. </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lastRenderedPageBreak/>
        <w:t xml:space="preserve">Felipe-Lucia, M. R., </w:t>
      </w:r>
      <w:proofErr w:type="spellStart"/>
      <w:r w:rsidRPr="005021E7">
        <w:rPr>
          <w:rFonts w:cs="Arial"/>
          <w:sz w:val="20"/>
        </w:rPr>
        <w:t>Comín</w:t>
      </w:r>
      <w:proofErr w:type="spellEnd"/>
      <w:r w:rsidRPr="005021E7">
        <w:rPr>
          <w:rFonts w:cs="Arial"/>
          <w:sz w:val="20"/>
        </w:rPr>
        <w:t xml:space="preserve">, F. A. &amp; </w:t>
      </w:r>
      <w:proofErr w:type="spellStart"/>
      <w:r w:rsidRPr="005021E7">
        <w:rPr>
          <w:rFonts w:cs="Arial"/>
          <w:sz w:val="20"/>
        </w:rPr>
        <w:t>Escalera</w:t>
      </w:r>
      <w:proofErr w:type="spellEnd"/>
      <w:r w:rsidRPr="005021E7">
        <w:rPr>
          <w:rFonts w:cs="Arial"/>
          <w:sz w:val="20"/>
        </w:rPr>
        <w:t>-Reyes, J. 2015. A framework for the social valuation</w:t>
      </w: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of ecosystem services. </w:t>
      </w:r>
      <w:proofErr w:type="spellStart"/>
      <w:r w:rsidRPr="005021E7">
        <w:rPr>
          <w:rFonts w:cs="Arial"/>
          <w:i/>
          <w:iCs/>
          <w:sz w:val="20"/>
        </w:rPr>
        <w:t>Ambio</w:t>
      </w:r>
      <w:proofErr w:type="spellEnd"/>
      <w:r w:rsidRPr="005021E7">
        <w:rPr>
          <w:rFonts w:cs="Arial"/>
          <w:i/>
          <w:iCs/>
          <w:sz w:val="20"/>
        </w:rPr>
        <w:t>,</w:t>
      </w:r>
      <w:r w:rsidRPr="005021E7">
        <w:rPr>
          <w:rFonts w:cs="Arial"/>
          <w:sz w:val="20"/>
        </w:rPr>
        <w:t xml:space="preserve"> 44</w:t>
      </w:r>
      <w:r w:rsidRPr="005021E7">
        <w:rPr>
          <w:rFonts w:cs="Arial"/>
          <w:bCs/>
          <w:sz w:val="20"/>
        </w:rPr>
        <w:t>,</w:t>
      </w:r>
      <w:r w:rsidRPr="005021E7">
        <w:rPr>
          <w:rFonts w:cs="Arial"/>
          <w:sz w:val="20"/>
        </w:rPr>
        <w:t xml:space="preserve"> 308-318.</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Gould, R., </w:t>
      </w:r>
      <w:proofErr w:type="spellStart"/>
      <w:r w:rsidRPr="005021E7">
        <w:rPr>
          <w:rFonts w:cs="Arial"/>
          <w:sz w:val="20"/>
        </w:rPr>
        <w:t>Klain</w:t>
      </w:r>
      <w:proofErr w:type="spellEnd"/>
      <w:r w:rsidRPr="005021E7">
        <w:rPr>
          <w:rFonts w:cs="Arial"/>
          <w:sz w:val="20"/>
        </w:rPr>
        <w:t xml:space="preserve">, S., </w:t>
      </w:r>
      <w:proofErr w:type="spellStart"/>
      <w:r w:rsidRPr="005021E7">
        <w:rPr>
          <w:rFonts w:cs="Arial"/>
          <w:sz w:val="20"/>
        </w:rPr>
        <w:t>Ardoin</w:t>
      </w:r>
      <w:proofErr w:type="spellEnd"/>
      <w:r w:rsidRPr="005021E7">
        <w:rPr>
          <w:rFonts w:cs="Arial"/>
          <w:sz w:val="20"/>
        </w:rPr>
        <w:t xml:space="preserve">, N., Satterfield, T., Woodside, U., </w:t>
      </w:r>
      <w:proofErr w:type="spellStart"/>
      <w:r w:rsidRPr="005021E7">
        <w:rPr>
          <w:rFonts w:cs="Arial"/>
          <w:sz w:val="20"/>
        </w:rPr>
        <w:t>Hannahs</w:t>
      </w:r>
      <w:proofErr w:type="spellEnd"/>
      <w:r w:rsidRPr="005021E7">
        <w:rPr>
          <w:rFonts w:cs="Arial"/>
          <w:sz w:val="20"/>
        </w:rPr>
        <w:t xml:space="preserve">, N., Daily, G. &amp; Chan, K. 2014. A protocol for eliciting nonmaterial values using a cultural ecosystem services frame: </w:t>
      </w:r>
      <w:proofErr w:type="spellStart"/>
      <w:r w:rsidRPr="005021E7">
        <w:rPr>
          <w:rFonts w:cs="Arial"/>
          <w:sz w:val="20"/>
        </w:rPr>
        <w:t>analyzing</w:t>
      </w:r>
      <w:proofErr w:type="spellEnd"/>
      <w:r w:rsidRPr="005021E7">
        <w:rPr>
          <w:rFonts w:cs="Arial"/>
          <w:sz w:val="20"/>
        </w:rPr>
        <w:t xml:space="preserve"> cultural ecosystem services. </w:t>
      </w:r>
      <w:proofErr w:type="spellStart"/>
      <w:r w:rsidRPr="005021E7">
        <w:rPr>
          <w:rFonts w:cs="Arial"/>
          <w:i/>
          <w:iCs/>
          <w:sz w:val="20"/>
        </w:rPr>
        <w:t>Conserv</w:t>
      </w:r>
      <w:proofErr w:type="spellEnd"/>
      <w:r w:rsidRPr="005021E7">
        <w:rPr>
          <w:rFonts w:cs="Arial"/>
          <w:i/>
          <w:iCs/>
          <w:sz w:val="20"/>
        </w:rPr>
        <w:t>. Biol.</w:t>
      </w:r>
      <w:r w:rsidRPr="005021E7">
        <w:rPr>
          <w:rFonts w:cs="Arial"/>
          <w:bCs/>
          <w:sz w:val="20"/>
        </w:rPr>
        <w:t>,</w:t>
      </w:r>
      <w:r w:rsidRPr="005021E7">
        <w:rPr>
          <w:rFonts w:cs="Arial"/>
          <w:sz w:val="20"/>
        </w:rPr>
        <w:t xml:space="preserve"> 1-35.</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Haines-Young, R. H. &amp; </w:t>
      </w:r>
      <w:proofErr w:type="spellStart"/>
      <w:r w:rsidRPr="005021E7">
        <w:rPr>
          <w:rFonts w:cs="Arial"/>
          <w:sz w:val="20"/>
        </w:rPr>
        <w:t>Potschin</w:t>
      </w:r>
      <w:proofErr w:type="spellEnd"/>
      <w:r w:rsidRPr="005021E7">
        <w:rPr>
          <w:rFonts w:cs="Arial"/>
          <w:sz w:val="20"/>
        </w:rPr>
        <w:t>, M.B. 2009. Methodologies for defining and assessing ecosystem services. Final Report, JNCC, Project Code C08-0170-0062. 69pp.</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right="-143" w:hanging="567"/>
        <w:jc w:val="left"/>
        <w:rPr>
          <w:rFonts w:cs="Arial"/>
          <w:sz w:val="20"/>
        </w:rPr>
      </w:pPr>
      <w:r w:rsidRPr="005021E7">
        <w:rPr>
          <w:rFonts w:cs="Arial"/>
          <w:sz w:val="20"/>
        </w:rPr>
        <w:t xml:space="preserve">Kati, V. &amp; </w:t>
      </w:r>
      <w:proofErr w:type="spellStart"/>
      <w:r w:rsidRPr="005021E7">
        <w:rPr>
          <w:rFonts w:cs="Arial"/>
          <w:sz w:val="20"/>
        </w:rPr>
        <w:t>Jari</w:t>
      </w:r>
      <w:proofErr w:type="spellEnd"/>
      <w:r w:rsidRPr="005021E7">
        <w:rPr>
          <w:rFonts w:cs="Arial"/>
          <w:sz w:val="20"/>
        </w:rPr>
        <w:t xml:space="preserve">, N. 2016. Bottom-up thinking—Identifying socio-cultural values of ecosystem services in local blue–green infrastructure planning in Helsinki, Finland. </w:t>
      </w:r>
      <w:r w:rsidRPr="005021E7">
        <w:rPr>
          <w:rFonts w:cs="Arial"/>
          <w:i/>
          <w:iCs/>
          <w:sz w:val="20"/>
        </w:rPr>
        <w:t>Land Use Policy,</w:t>
      </w:r>
      <w:r w:rsidRPr="005021E7">
        <w:rPr>
          <w:rFonts w:cs="Arial"/>
          <w:sz w:val="20"/>
        </w:rPr>
        <w:t xml:space="preserve"> 50</w:t>
      </w:r>
      <w:r w:rsidRPr="005021E7">
        <w:rPr>
          <w:rFonts w:cs="Arial"/>
          <w:bCs/>
          <w:sz w:val="20"/>
        </w:rPr>
        <w:t>,</w:t>
      </w:r>
      <w:r w:rsidRPr="005021E7">
        <w:rPr>
          <w:rFonts w:cs="Arial"/>
          <w:sz w:val="20"/>
        </w:rPr>
        <w:t xml:space="preserve"> 537-547.</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Kenter</w:t>
      </w:r>
      <w:proofErr w:type="spellEnd"/>
      <w:r w:rsidRPr="005021E7">
        <w:rPr>
          <w:rFonts w:cs="Arial"/>
          <w:sz w:val="20"/>
        </w:rPr>
        <w:t>, J. O. 2014. Valuing the Inner Forth. Final report to the Inner Forth Landscape Initiative. Falkirk/Aberdeen: IFLI/University of Aberdeen</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MacKenzie</w:t>
      </w:r>
      <w:proofErr w:type="spellEnd"/>
      <w:r w:rsidRPr="005021E7">
        <w:rPr>
          <w:rFonts w:cs="Arial"/>
          <w:sz w:val="20"/>
        </w:rPr>
        <w:t xml:space="preserve">, J. 2012. Socio-cultural values in the adaptive water planning cycle. Report for the Northern Australia Water Futures Assessment Cultural and Social Program. Darwin, Australia: Charles Darwin University: Darwin. </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ind w:left="567" w:hanging="567"/>
        <w:jc w:val="left"/>
        <w:rPr>
          <w:rFonts w:cs="Arial"/>
          <w:sz w:val="20"/>
        </w:rPr>
      </w:pPr>
      <w:r w:rsidRPr="005021E7">
        <w:rPr>
          <w:rFonts w:cs="Arial"/>
          <w:sz w:val="20"/>
        </w:rPr>
        <w:t xml:space="preserve">McLain, R., L. </w:t>
      </w:r>
      <w:proofErr w:type="spellStart"/>
      <w:r w:rsidRPr="005021E7">
        <w:rPr>
          <w:rFonts w:cs="Arial"/>
          <w:sz w:val="20"/>
        </w:rPr>
        <w:t>Cerveny</w:t>
      </w:r>
      <w:proofErr w:type="spellEnd"/>
      <w:r w:rsidRPr="005021E7">
        <w:rPr>
          <w:rFonts w:cs="Arial"/>
          <w:sz w:val="20"/>
        </w:rPr>
        <w:t xml:space="preserve">, D. </w:t>
      </w:r>
      <w:proofErr w:type="spellStart"/>
      <w:r w:rsidRPr="005021E7">
        <w:rPr>
          <w:rFonts w:cs="Arial"/>
          <w:sz w:val="20"/>
        </w:rPr>
        <w:t>Besser</w:t>
      </w:r>
      <w:proofErr w:type="spellEnd"/>
      <w:r w:rsidRPr="005021E7">
        <w:rPr>
          <w:rFonts w:cs="Arial"/>
          <w:sz w:val="20"/>
        </w:rPr>
        <w:t xml:space="preserve">, D. </w:t>
      </w:r>
      <w:proofErr w:type="spellStart"/>
      <w:r w:rsidRPr="005021E7">
        <w:rPr>
          <w:rFonts w:cs="Arial"/>
          <w:sz w:val="20"/>
        </w:rPr>
        <w:t>Banis</w:t>
      </w:r>
      <w:proofErr w:type="spellEnd"/>
      <w:r w:rsidRPr="005021E7">
        <w:rPr>
          <w:rFonts w:cs="Arial"/>
          <w:sz w:val="20"/>
        </w:rPr>
        <w:t xml:space="preserve">, K. </w:t>
      </w:r>
      <w:proofErr w:type="spellStart"/>
      <w:r w:rsidRPr="005021E7">
        <w:rPr>
          <w:rFonts w:cs="Arial"/>
          <w:sz w:val="20"/>
        </w:rPr>
        <w:t>Biedenweg</w:t>
      </w:r>
      <w:proofErr w:type="spellEnd"/>
      <w:r w:rsidRPr="005021E7">
        <w:rPr>
          <w:rFonts w:cs="Arial"/>
          <w:sz w:val="20"/>
        </w:rPr>
        <w:t xml:space="preserve">, A. Todd, C. Kimball-Brown, and S. </w:t>
      </w:r>
      <w:proofErr w:type="spellStart"/>
      <w:r w:rsidRPr="005021E7">
        <w:rPr>
          <w:rFonts w:cs="Arial"/>
          <w:sz w:val="20"/>
        </w:rPr>
        <w:t>Rohdy</w:t>
      </w:r>
      <w:proofErr w:type="spellEnd"/>
      <w:r w:rsidRPr="005021E7">
        <w:rPr>
          <w:rFonts w:cs="Arial"/>
          <w:sz w:val="20"/>
        </w:rPr>
        <w:t>. 2013. Mapping Human-Environment Connections On The Olympic Peninsula: An Atlas Of Landscape Values. Portland University. USA</w:t>
      </w: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Millennium Ecosystem Assessment (MA). 2005. Ecosystems and human well-being: Our human planet: Summary for decision makers. Washington, DC: Island Press.</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Mooney C &amp; Pl Tan 2012. South Australia’s River Murray: Social and cultural values in water</w:t>
      </w:r>
      <w:r>
        <w:rPr>
          <w:rFonts w:cs="Arial"/>
          <w:sz w:val="20"/>
        </w:rPr>
        <w:t xml:space="preserve"> </w:t>
      </w:r>
      <w:r w:rsidRPr="005021E7">
        <w:rPr>
          <w:rFonts w:cs="Arial"/>
          <w:sz w:val="20"/>
        </w:rPr>
        <w:t xml:space="preserve">on “Ecosystem Services".  Planning. </w:t>
      </w:r>
      <w:r w:rsidRPr="005021E7">
        <w:rPr>
          <w:rFonts w:cs="Arial"/>
          <w:i/>
          <w:iCs/>
          <w:sz w:val="20"/>
        </w:rPr>
        <w:t xml:space="preserve">Journal of Hydrology </w:t>
      </w:r>
      <w:r w:rsidRPr="005021E7">
        <w:rPr>
          <w:rFonts w:cs="Arial"/>
          <w:sz w:val="20"/>
        </w:rPr>
        <w:t>474</w:t>
      </w:r>
      <w:r w:rsidRPr="005021E7">
        <w:rPr>
          <w:rFonts w:cs="Arial"/>
          <w:bCs/>
          <w:sz w:val="20"/>
        </w:rPr>
        <w:t>,</w:t>
      </w:r>
      <w:r w:rsidRPr="005021E7">
        <w:rPr>
          <w:rFonts w:cs="Arial"/>
          <w:sz w:val="20"/>
        </w:rPr>
        <w:t xml:space="preserve"> 29-37.</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Plieninger</w:t>
      </w:r>
      <w:proofErr w:type="spellEnd"/>
      <w:r w:rsidRPr="005021E7">
        <w:rPr>
          <w:rFonts w:cs="Arial"/>
          <w:sz w:val="20"/>
        </w:rPr>
        <w:t xml:space="preserve">, T., </w:t>
      </w:r>
      <w:proofErr w:type="spellStart"/>
      <w:r w:rsidRPr="005021E7">
        <w:rPr>
          <w:rFonts w:cs="Arial"/>
          <w:sz w:val="20"/>
        </w:rPr>
        <w:t>Dijks</w:t>
      </w:r>
      <w:proofErr w:type="spellEnd"/>
      <w:r w:rsidRPr="005021E7">
        <w:rPr>
          <w:rFonts w:cs="Arial"/>
          <w:sz w:val="20"/>
        </w:rPr>
        <w:t xml:space="preserve">, Sebastian, </w:t>
      </w:r>
      <w:proofErr w:type="spellStart"/>
      <w:r w:rsidRPr="005021E7">
        <w:rPr>
          <w:rFonts w:cs="Arial"/>
          <w:sz w:val="20"/>
        </w:rPr>
        <w:t>Oteros-Rozas</w:t>
      </w:r>
      <w:proofErr w:type="spellEnd"/>
      <w:r w:rsidRPr="005021E7">
        <w:rPr>
          <w:rFonts w:cs="Arial"/>
          <w:sz w:val="20"/>
        </w:rPr>
        <w:t xml:space="preserve">, Elisa, </w:t>
      </w:r>
      <w:proofErr w:type="spellStart"/>
      <w:r w:rsidRPr="005021E7">
        <w:rPr>
          <w:rFonts w:cs="Arial"/>
          <w:sz w:val="20"/>
        </w:rPr>
        <w:t>Bieling</w:t>
      </w:r>
      <w:proofErr w:type="spellEnd"/>
      <w:r w:rsidRPr="005021E7">
        <w:rPr>
          <w:rFonts w:cs="Arial"/>
          <w:sz w:val="20"/>
        </w:rPr>
        <w:t>, Claudia . 2013. Assessing, mapping and quantifying cultural ecosystem services at community level. Land Use Policy 33, 118-129</w:t>
      </w:r>
    </w:p>
    <w:p w:rsidR="003F789A" w:rsidRPr="005021E7" w:rsidRDefault="003F789A" w:rsidP="00DE0DB5">
      <w:pPr>
        <w:autoSpaceDE w:val="0"/>
        <w:autoSpaceDN w:val="0"/>
        <w:adjustRightInd w:val="0"/>
        <w:spacing w:after="0" w:line="240" w:lineRule="auto"/>
        <w:ind w:left="567" w:hanging="567"/>
        <w:jc w:val="left"/>
        <w:rPr>
          <w:rFonts w:cs="Arial"/>
          <w:color w:val="000000"/>
          <w:sz w:val="20"/>
        </w:rPr>
      </w:pPr>
    </w:p>
    <w:p w:rsidR="003F789A" w:rsidRPr="005021E7" w:rsidRDefault="003F789A" w:rsidP="00DE0DB5">
      <w:pPr>
        <w:autoSpaceDE w:val="0"/>
        <w:autoSpaceDN w:val="0"/>
        <w:adjustRightInd w:val="0"/>
        <w:spacing w:after="0" w:line="240" w:lineRule="auto"/>
        <w:ind w:left="567" w:hanging="567"/>
        <w:jc w:val="left"/>
        <w:rPr>
          <w:rFonts w:cs="Arial"/>
          <w:color w:val="000000"/>
          <w:sz w:val="20"/>
        </w:rPr>
      </w:pPr>
      <w:proofErr w:type="spellStart"/>
      <w:r w:rsidRPr="005021E7">
        <w:rPr>
          <w:rFonts w:cs="Arial"/>
          <w:color w:val="000000"/>
          <w:sz w:val="20"/>
        </w:rPr>
        <w:t>Raffaelli</w:t>
      </w:r>
      <w:proofErr w:type="spellEnd"/>
      <w:r w:rsidRPr="005021E7">
        <w:rPr>
          <w:rFonts w:cs="Arial"/>
          <w:color w:val="000000"/>
          <w:sz w:val="20"/>
        </w:rPr>
        <w:t xml:space="preserve">, D. G. 2006. Biodiversity and ecosystem functioning: issues of scale and trophic complexity. Marine Ecology-Progress Series 311: 285-294. </w:t>
      </w:r>
    </w:p>
    <w:p w:rsidR="003F789A" w:rsidRPr="005021E7" w:rsidRDefault="003F789A" w:rsidP="00DE0DB5">
      <w:pPr>
        <w:autoSpaceDE w:val="0"/>
        <w:autoSpaceDN w:val="0"/>
        <w:adjustRightInd w:val="0"/>
        <w:spacing w:after="0" w:line="240" w:lineRule="auto"/>
        <w:ind w:left="567" w:hanging="567"/>
        <w:jc w:val="left"/>
        <w:rPr>
          <w:rFonts w:cs="Arial"/>
          <w:color w:val="000000"/>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Raymond, C. M., Bryan, B. A., Macdonald, D. H., Cast, A., </w:t>
      </w:r>
      <w:proofErr w:type="spellStart"/>
      <w:r w:rsidRPr="005021E7">
        <w:rPr>
          <w:rFonts w:cs="Arial"/>
          <w:sz w:val="20"/>
        </w:rPr>
        <w:t>Strathearn</w:t>
      </w:r>
      <w:proofErr w:type="spellEnd"/>
      <w:r w:rsidRPr="005021E7">
        <w:rPr>
          <w:rFonts w:cs="Arial"/>
          <w:sz w:val="20"/>
        </w:rPr>
        <w:t xml:space="preserve">, S., </w:t>
      </w:r>
      <w:proofErr w:type="spellStart"/>
      <w:r w:rsidRPr="005021E7">
        <w:rPr>
          <w:rFonts w:cs="Arial"/>
          <w:sz w:val="20"/>
        </w:rPr>
        <w:t>Grandgirard</w:t>
      </w:r>
      <w:proofErr w:type="spellEnd"/>
      <w:r w:rsidRPr="005021E7">
        <w:rPr>
          <w:rFonts w:cs="Arial"/>
          <w:sz w:val="20"/>
        </w:rPr>
        <w:t xml:space="preserve">, A. &amp; </w:t>
      </w:r>
      <w:proofErr w:type="spellStart"/>
      <w:r w:rsidRPr="005021E7">
        <w:rPr>
          <w:rFonts w:cs="Arial"/>
          <w:sz w:val="20"/>
        </w:rPr>
        <w:t>Kalivas</w:t>
      </w:r>
      <w:proofErr w:type="spellEnd"/>
      <w:r w:rsidRPr="005021E7">
        <w:rPr>
          <w:rFonts w:cs="Arial"/>
          <w:sz w:val="20"/>
        </w:rPr>
        <w:t xml:space="preserve">, T. 2009. Mapping community values for natural capital and ecosystem services. </w:t>
      </w:r>
      <w:r w:rsidRPr="005021E7">
        <w:rPr>
          <w:rFonts w:cs="Arial"/>
          <w:i/>
          <w:iCs/>
          <w:sz w:val="20"/>
        </w:rPr>
        <w:t>Ecological Economics,</w:t>
      </w:r>
      <w:r w:rsidRPr="005021E7">
        <w:rPr>
          <w:rFonts w:cs="Arial"/>
          <w:sz w:val="20"/>
        </w:rPr>
        <w:t xml:space="preserve"> 68</w:t>
      </w:r>
      <w:r w:rsidRPr="005021E7">
        <w:rPr>
          <w:rFonts w:cs="Arial"/>
          <w:b/>
          <w:bCs/>
          <w:sz w:val="20"/>
        </w:rPr>
        <w:t>,</w:t>
      </w:r>
      <w:r w:rsidRPr="005021E7">
        <w:rPr>
          <w:rFonts w:cs="Arial"/>
          <w:sz w:val="20"/>
        </w:rPr>
        <w:t xml:space="preserve"> 1301-1315.</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Satz</w:t>
      </w:r>
      <w:proofErr w:type="spellEnd"/>
      <w:r w:rsidRPr="005021E7">
        <w:rPr>
          <w:rFonts w:cs="Arial"/>
          <w:sz w:val="20"/>
        </w:rPr>
        <w:t xml:space="preserve">, D., Gould, R. K., Chan, K. M., </w:t>
      </w:r>
      <w:proofErr w:type="spellStart"/>
      <w:r w:rsidRPr="005021E7">
        <w:rPr>
          <w:rFonts w:cs="Arial"/>
          <w:sz w:val="20"/>
        </w:rPr>
        <w:t>Guerry</w:t>
      </w:r>
      <w:proofErr w:type="spellEnd"/>
      <w:r w:rsidRPr="005021E7">
        <w:rPr>
          <w:rFonts w:cs="Arial"/>
          <w:sz w:val="20"/>
        </w:rPr>
        <w:t xml:space="preserve">, A., Norton, B., Satterfield, T., Halpern, B. S., </w:t>
      </w:r>
    </w:p>
    <w:p w:rsidR="00750B29" w:rsidRDefault="00750B29" w:rsidP="00DE0DB5">
      <w:pPr>
        <w:autoSpaceDE w:val="0"/>
        <w:autoSpaceDN w:val="0"/>
        <w:adjustRightInd w:val="0"/>
        <w:spacing w:after="0" w:line="240" w:lineRule="auto"/>
        <w:ind w:left="567" w:hanging="567"/>
        <w:jc w:val="left"/>
        <w:rPr>
          <w:rFonts w:cs="Arial"/>
          <w:sz w:val="20"/>
        </w:rPr>
      </w:pPr>
    </w:p>
    <w:p w:rsidR="003F789A" w:rsidRPr="008125BB" w:rsidRDefault="003F789A" w:rsidP="00DE0DB5">
      <w:pPr>
        <w:autoSpaceDE w:val="0"/>
        <w:autoSpaceDN w:val="0"/>
        <w:adjustRightInd w:val="0"/>
        <w:spacing w:after="0" w:line="240" w:lineRule="auto"/>
        <w:ind w:left="567" w:hanging="567"/>
        <w:jc w:val="left"/>
        <w:rPr>
          <w:rFonts w:cs="Arial"/>
          <w:sz w:val="20"/>
          <w:lang w:val="nl-NL"/>
        </w:rPr>
      </w:pPr>
      <w:proofErr w:type="gramStart"/>
      <w:r w:rsidRPr="005021E7">
        <w:rPr>
          <w:rFonts w:cs="Arial"/>
          <w:sz w:val="20"/>
        </w:rPr>
        <w:t xml:space="preserve">Levine, J., Woodside, U. &amp; </w:t>
      </w:r>
      <w:proofErr w:type="spellStart"/>
      <w:r w:rsidRPr="005021E7">
        <w:rPr>
          <w:rFonts w:cs="Arial"/>
          <w:sz w:val="20"/>
        </w:rPr>
        <w:t>Hannahs</w:t>
      </w:r>
      <w:proofErr w:type="spellEnd"/>
      <w:r w:rsidRPr="005021E7">
        <w:rPr>
          <w:rFonts w:cs="Arial"/>
          <w:sz w:val="20"/>
        </w:rPr>
        <w:t>, N. 2013.</w:t>
      </w:r>
      <w:proofErr w:type="gramEnd"/>
      <w:r w:rsidRPr="005021E7">
        <w:rPr>
          <w:rFonts w:cs="Arial"/>
          <w:sz w:val="20"/>
        </w:rPr>
        <w:t xml:space="preserve"> The challenges of incorporating cultural ecosystem services into environmental assessment. </w:t>
      </w:r>
      <w:r w:rsidRPr="008125BB">
        <w:rPr>
          <w:rFonts w:cs="Arial"/>
          <w:i/>
          <w:iCs/>
          <w:sz w:val="20"/>
          <w:lang w:val="nl-NL"/>
        </w:rPr>
        <w:t>Ambio,</w:t>
      </w:r>
      <w:r w:rsidRPr="008125BB">
        <w:rPr>
          <w:rFonts w:cs="Arial"/>
          <w:sz w:val="20"/>
          <w:lang w:val="nl-NL"/>
        </w:rPr>
        <w:t xml:space="preserve"> 42</w:t>
      </w:r>
      <w:r w:rsidRPr="008125BB">
        <w:rPr>
          <w:rFonts w:cs="Arial"/>
          <w:bCs/>
          <w:sz w:val="20"/>
          <w:lang w:val="nl-NL"/>
        </w:rPr>
        <w:t>,</w:t>
      </w:r>
      <w:r w:rsidRPr="008125BB">
        <w:rPr>
          <w:rFonts w:cs="Arial"/>
          <w:sz w:val="20"/>
          <w:lang w:val="nl-NL"/>
        </w:rPr>
        <w:t xml:space="preserve"> 675-684.</w:t>
      </w:r>
    </w:p>
    <w:p w:rsidR="003F789A" w:rsidRPr="008125BB" w:rsidRDefault="003F789A" w:rsidP="00DE0DB5">
      <w:pPr>
        <w:autoSpaceDE w:val="0"/>
        <w:autoSpaceDN w:val="0"/>
        <w:adjustRightInd w:val="0"/>
        <w:spacing w:after="0" w:line="240" w:lineRule="auto"/>
        <w:ind w:left="567" w:hanging="567"/>
        <w:jc w:val="left"/>
        <w:rPr>
          <w:rFonts w:cs="Arial"/>
          <w:sz w:val="20"/>
          <w:lang w:val="nl-NL"/>
        </w:rPr>
      </w:pPr>
    </w:p>
    <w:p w:rsidR="003F789A" w:rsidRPr="005021E7" w:rsidRDefault="003F789A" w:rsidP="00DE0DB5">
      <w:pPr>
        <w:autoSpaceDE w:val="0"/>
        <w:autoSpaceDN w:val="0"/>
        <w:adjustRightInd w:val="0"/>
        <w:spacing w:after="0" w:line="240" w:lineRule="auto"/>
        <w:ind w:left="567" w:right="-188" w:hanging="567"/>
        <w:jc w:val="left"/>
        <w:rPr>
          <w:rFonts w:cs="Arial"/>
          <w:sz w:val="20"/>
        </w:rPr>
      </w:pPr>
      <w:r w:rsidRPr="008125BB">
        <w:rPr>
          <w:rFonts w:cs="Arial"/>
          <w:sz w:val="20"/>
          <w:lang w:val="nl-NL"/>
        </w:rPr>
        <w:t xml:space="preserve">Scholte, S. S. K., Van Teeffelen, A. J. A. &amp; Verburg, P. H. 2015. </w:t>
      </w:r>
      <w:r w:rsidRPr="005021E7">
        <w:rPr>
          <w:rFonts w:cs="Arial"/>
          <w:sz w:val="20"/>
        </w:rPr>
        <w:t xml:space="preserve">Integrating socio-cultural perspectives into ecosystem service valuation: A review of concepts and methods. </w:t>
      </w:r>
      <w:r w:rsidRPr="005021E7">
        <w:rPr>
          <w:rFonts w:cs="Arial"/>
          <w:i/>
          <w:iCs/>
          <w:sz w:val="20"/>
        </w:rPr>
        <w:t>Ecological Economics,</w:t>
      </w:r>
      <w:r w:rsidRPr="005021E7">
        <w:rPr>
          <w:rFonts w:cs="Arial"/>
          <w:sz w:val="20"/>
        </w:rPr>
        <w:t xml:space="preserve"> 114</w:t>
      </w:r>
      <w:r w:rsidRPr="005021E7">
        <w:rPr>
          <w:rFonts w:cs="Arial"/>
          <w:bCs/>
          <w:sz w:val="20"/>
        </w:rPr>
        <w:t>,</w:t>
      </w:r>
      <w:r w:rsidRPr="005021E7">
        <w:rPr>
          <w:rFonts w:cs="Arial"/>
          <w:sz w:val="20"/>
        </w:rPr>
        <w:t xml:space="preserve"> 67-78.</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Spangenberg, J. H., </w:t>
      </w:r>
      <w:proofErr w:type="spellStart"/>
      <w:r w:rsidRPr="005021E7">
        <w:rPr>
          <w:rFonts w:cs="Arial"/>
          <w:sz w:val="20"/>
        </w:rPr>
        <w:t>Görg</w:t>
      </w:r>
      <w:proofErr w:type="spellEnd"/>
      <w:r w:rsidRPr="005021E7">
        <w:rPr>
          <w:rFonts w:cs="Arial"/>
          <w:sz w:val="20"/>
        </w:rPr>
        <w:t xml:space="preserve">, C., Truong, D. T., Tekken, V., Bustamante, J. V. &amp; </w:t>
      </w:r>
      <w:proofErr w:type="spellStart"/>
      <w:r w:rsidRPr="005021E7">
        <w:rPr>
          <w:rFonts w:cs="Arial"/>
          <w:sz w:val="20"/>
        </w:rPr>
        <w:t>Settele</w:t>
      </w:r>
      <w:proofErr w:type="spellEnd"/>
      <w:r w:rsidRPr="005021E7">
        <w:rPr>
          <w:rFonts w:cs="Arial"/>
          <w:sz w:val="20"/>
        </w:rPr>
        <w:t xml:space="preserve">, J. 2014. Provision of ecosystem services is determined by human agency, not ecosystem functions. Four case studies. </w:t>
      </w:r>
      <w:r w:rsidRPr="005021E7">
        <w:rPr>
          <w:rFonts w:cs="Arial"/>
          <w:i/>
          <w:iCs/>
          <w:sz w:val="20"/>
        </w:rPr>
        <w:t>International Journal of Biodiversity Science, Ecosystem Services &amp; Management,</w:t>
      </w:r>
      <w:r w:rsidRPr="005021E7">
        <w:rPr>
          <w:rFonts w:cs="Arial"/>
          <w:sz w:val="20"/>
        </w:rPr>
        <w:t xml:space="preserve"> 10</w:t>
      </w:r>
      <w:r w:rsidRPr="005021E7">
        <w:rPr>
          <w:rFonts w:cs="Arial"/>
          <w:bCs/>
          <w:sz w:val="20"/>
        </w:rPr>
        <w:t>,</w:t>
      </w:r>
      <w:r w:rsidRPr="005021E7">
        <w:rPr>
          <w:rFonts w:cs="Arial"/>
          <w:sz w:val="20"/>
        </w:rPr>
        <w:t xml:space="preserve"> 40-53.</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 xml:space="preserve">TEEB 2010. The Economics of Ecosystems and Biodiversity Ecological and Economic Foundations. KUMAR, P.(ed.). London and Washington: </w:t>
      </w:r>
      <w:proofErr w:type="spellStart"/>
      <w:r w:rsidRPr="005021E7">
        <w:rPr>
          <w:rFonts w:cs="Arial"/>
          <w:sz w:val="20"/>
        </w:rPr>
        <w:t>Earthscan</w:t>
      </w:r>
      <w:proofErr w:type="spellEnd"/>
      <w:r w:rsidRPr="005021E7">
        <w:rPr>
          <w:rFonts w:cs="Arial"/>
          <w:sz w:val="20"/>
        </w:rPr>
        <w:t>.</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lastRenderedPageBreak/>
        <w:t xml:space="preserve">Todd, A. N. 2014. </w:t>
      </w:r>
      <w:r w:rsidRPr="005021E7">
        <w:rPr>
          <w:rFonts w:cs="Arial"/>
          <w:i/>
          <w:iCs/>
          <w:sz w:val="20"/>
        </w:rPr>
        <w:t>Mapping Sociocultural Values of Visitors on the Olympic Peninsula, Washington.</w:t>
      </w:r>
      <w:r w:rsidRPr="005021E7">
        <w:rPr>
          <w:rFonts w:cs="Arial"/>
          <w:sz w:val="20"/>
        </w:rPr>
        <w:t xml:space="preserve"> Portland State University. USA. </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Turnpenny</w:t>
      </w:r>
      <w:proofErr w:type="spellEnd"/>
      <w:r w:rsidRPr="005021E7">
        <w:rPr>
          <w:rFonts w:cs="Arial"/>
          <w:sz w:val="20"/>
        </w:rPr>
        <w:t xml:space="preserve">, J., Russel, D. &amp; Jordan, A. 2014. The challenge of embedding an ecosystems services approach: patterns of knowledge utilisation in public policy appraisal. </w:t>
      </w:r>
      <w:r w:rsidRPr="005021E7">
        <w:rPr>
          <w:rFonts w:cs="Arial"/>
          <w:i/>
          <w:iCs/>
          <w:sz w:val="20"/>
        </w:rPr>
        <w:t>Environment and Planning C: Government and Policy,</w:t>
      </w:r>
      <w:r w:rsidRPr="005021E7">
        <w:rPr>
          <w:rFonts w:cs="Arial"/>
          <w:sz w:val="20"/>
        </w:rPr>
        <w:t xml:space="preserve"> 32</w:t>
      </w:r>
      <w:r w:rsidRPr="005021E7">
        <w:rPr>
          <w:rFonts w:cs="Arial"/>
          <w:bCs/>
          <w:sz w:val="20"/>
        </w:rPr>
        <w:t>,</w:t>
      </w:r>
      <w:r w:rsidRPr="005021E7">
        <w:rPr>
          <w:rFonts w:cs="Arial"/>
          <w:sz w:val="20"/>
        </w:rPr>
        <w:t xml:space="preserve"> 247-262.</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r w:rsidRPr="005021E7">
        <w:rPr>
          <w:rFonts w:cs="Arial"/>
          <w:sz w:val="20"/>
        </w:rPr>
        <w:t>UNEP-WCMC, C. 2011. UK National Ecosystem Assessment. The UK National Ecosystem Assessment: Synthesis of the Key Findings. Cambridge, UK.</w:t>
      </w:r>
    </w:p>
    <w:p w:rsidR="003F789A" w:rsidRPr="005021E7" w:rsidRDefault="003F789A" w:rsidP="00DE0DB5">
      <w:pPr>
        <w:autoSpaceDE w:val="0"/>
        <w:autoSpaceDN w:val="0"/>
        <w:adjustRightInd w:val="0"/>
        <w:spacing w:after="0" w:line="240" w:lineRule="auto"/>
        <w:ind w:left="567" w:hanging="567"/>
        <w:jc w:val="left"/>
        <w:rPr>
          <w:rFonts w:cs="Arial"/>
          <w:sz w:val="20"/>
        </w:rPr>
      </w:pPr>
    </w:p>
    <w:p w:rsidR="003F789A" w:rsidRPr="005021E7" w:rsidRDefault="003F789A" w:rsidP="00DE0DB5">
      <w:pPr>
        <w:autoSpaceDE w:val="0"/>
        <w:autoSpaceDN w:val="0"/>
        <w:adjustRightInd w:val="0"/>
        <w:spacing w:after="0" w:line="240" w:lineRule="auto"/>
        <w:ind w:left="567" w:hanging="567"/>
        <w:jc w:val="left"/>
        <w:rPr>
          <w:rFonts w:cs="Arial"/>
          <w:sz w:val="20"/>
        </w:rPr>
      </w:pPr>
      <w:proofErr w:type="spellStart"/>
      <w:r w:rsidRPr="005021E7">
        <w:rPr>
          <w:rFonts w:cs="Arial"/>
          <w:sz w:val="20"/>
        </w:rPr>
        <w:t>Zografos</w:t>
      </w:r>
      <w:proofErr w:type="spellEnd"/>
      <w:r w:rsidRPr="005021E7">
        <w:rPr>
          <w:rFonts w:cs="Arial"/>
          <w:sz w:val="20"/>
        </w:rPr>
        <w:t xml:space="preserve"> &amp; Kumar. 2010. Socio-cultural context of ecosystem and biodiversity valuation [in] TEEB 2010. The Economics of Ecosystems and Biodiversity Ecological and Economic Foundations. KUMAR, P. (ed.). London and Washington: </w:t>
      </w:r>
      <w:proofErr w:type="spellStart"/>
      <w:r w:rsidRPr="005021E7">
        <w:rPr>
          <w:rFonts w:cs="Arial"/>
          <w:sz w:val="20"/>
        </w:rPr>
        <w:t>Earthscan</w:t>
      </w:r>
      <w:proofErr w:type="spellEnd"/>
      <w:r w:rsidRPr="005021E7">
        <w:rPr>
          <w:rFonts w:cs="Arial"/>
          <w:sz w:val="20"/>
        </w:rPr>
        <w:t>.</w:t>
      </w:r>
    </w:p>
    <w:p w:rsidR="003F789A" w:rsidRPr="007D3FC0" w:rsidRDefault="003F789A" w:rsidP="00BD5483">
      <w:pPr>
        <w:pStyle w:val="Heading1"/>
        <w:numPr>
          <w:ilvl w:val="0"/>
          <w:numId w:val="44"/>
        </w:numPr>
        <w:ind w:left="851" w:hanging="851"/>
      </w:pPr>
      <w:bookmarkStart w:id="184" w:name="_Toc436757172"/>
      <w:bookmarkStart w:id="185" w:name="_Toc436758111"/>
      <w:bookmarkStart w:id="186" w:name="_Toc436915644"/>
      <w:bookmarkStart w:id="187" w:name="_Toc436916083"/>
      <w:r w:rsidRPr="007D3FC0">
        <w:lastRenderedPageBreak/>
        <w:t xml:space="preserve">Summary </w:t>
      </w:r>
      <w:r>
        <w:t>d</w:t>
      </w:r>
      <w:r w:rsidRPr="007D3FC0">
        <w:t>iscussion</w:t>
      </w:r>
      <w:bookmarkEnd w:id="184"/>
      <w:bookmarkEnd w:id="185"/>
      <w:bookmarkEnd w:id="186"/>
      <w:bookmarkEnd w:id="187"/>
    </w:p>
    <w:p w:rsidR="003F789A" w:rsidRPr="007D3FC0" w:rsidRDefault="003F789A" w:rsidP="00AB264C">
      <w:pPr>
        <w:spacing w:after="0" w:line="360" w:lineRule="auto"/>
        <w:rPr>
          <w:sz w:val="20"/>
        </w:rPr>
      </w:pPr>
      <w:r w:rsidRPr="007D3FC0">
        <w:rPr>
          <w:sz w:val="20"/>
        </w:rPr>
        <w:t xml:space="preserve">This deliverable has discussed the role of social or socio-cultural values and has introduced some of the methods of socio-cultural valuation (SCV) ranging from deliberative methods, to mapping, multivariate, quantitative and analytical approaches. Social or socio-cultural values underpin many decisions that we make, especially for those more important decisions where there is a reason to account for personal interests, the needs of others and our presumed responsibility for the environment in which we live.  As such they take into account a range of personal and shared values, which in turn are informed by personal experience and social and cultural norms. </w:t>
      </w:r>
    </w:p>
    <w:p w:rsidR="003F789A" w:rsidRPr="007D3FC0" w:rsidRDefault="003F789A" w:rsidP="00AB264C">
      <w:pPr>
        <w:spacing w:after="0" w:line="360" w:lineRule="auto"/>
        <w:rPr>
          <w:sz w:val="20"/>
        </w:rPr>
      </w:pPr>
    </w:p>
    <w:p w:rsidR="003F789A" w:rsidRPr="007D3FC0" w:rsidRDefault="003F789A" w:rsidP="00AB264C">
      <w:pPr>
        <w:spacing w:after="0" w:line="360" w:lineRule="auto"/>
        <w:rPr>
          <w:sz w:val="20"/>
        </w:rPr>
      </w:pPr>
      <w:r w:rsidRPr="007D3FC0">
        <w:rPr>
          <w:sz w:val="20"/>
        </w:rPr>
        <w:t xml:space="preserve">Amidst all the factors to which we must give consideration, the specific values that inform attitudes and choices with regard to the environment can be hard to filter out or distinguish.  Ecosystem services (ES) are a complex and unfamiliar concept for most people, and their role can be difficult to communicate or understand.  Almost inevitably, people will relate most closely to cultural ecosystem services (CES) as these are experienced in the settings or situations with which people most typically interact with nature and realise its benefits. By comparison, the value associated with regulating ecosystem services (RES) can be overlooked as their contribution is intermediate or less understood. An onus is placed on the researcher to identify situations in which RES contribute significantly to final ES benefits which people do value or which might largely be realised through the medium of CES. The usefulness of attempting to inform stakeholders or the public of this contribution depends on the extent to which a wider awareness of ES is considered useful for sustainable environmental management. This issue is discussed in the paper by Deirdre Joyce. However, the paper by Scholte et al on the Danube wetlands finds that, even among primary producers who might be expected to have the best knowledge of RES through their participation in socio-ecological systems, CES benefits still have a very considerable influence on the value that people attach to the environment. </w:t>
      </w:r>
    </w:p>
    <w:p w:rsidR="003F789A" w:rsidRPr="007D3FC0" w:rsidRDefault="003F789A" w:rsidP="00AB264C">
      <w:pPr>
        <w:spacing w:after="0" w:line="360" w:lineRule="auto"/>
        <w:rPr>
          <w:sz w:val="20"/>
        </w:rPr>
      </w:pPr>
    </w:p>
    <w:p w:rsidR="003F789A" w:rsidRPr="007D3FC0" w:rsidRDefault="003F789A" w:rsidP="00AB264C">
      <w:pPr>
        <w:spacing w:after="0" w:line="360" w:lineRule="auto"/>
        <w:rPr>
          <w:sz w:val="20"/>
        </w:rPr>
      </w:pPr>
      <w:r w:rsidRPr="007D3FC0">
        <w:rPr>
          <w:sz w:val="20"/>
        </w:rPr>
        <w:t xml:space="preserve">The deliverable report began by remarking on the limited range of values that might be amenable to economic valuation.  A problem with SCV is that it must address a wide range of values and then distinguish those that are relevant to the environment.  A further problem is that environmental and non-environmental values become bundled together. A SCV cannot shirk the presence of bundles as it has already acknowledged the wide scope of socio-cultural values. Rather, the various methods of SCV each have their means of teasing these values apart. Deliberative methods can be used to encourage participants to focus on the specific role of ES. This process that can aided by participatory mapping. Images and visualisation can assist too in both deliberation and survey based approaches. </w:t>
      </w:r>
    </w:p>
    <w:p w:rsidR="003F789A" w:rsidRPr="007D3FC0" w:rsidRDefault="003F789A" w:rsidP="00AB264C">
      <w:pPr>
        <w:spacing w:after="0" w:line="360" w:lineRule="auto"/>
        <w:rPr>
          <w:sz w:val="20"/>
        </w:rPr>
      </w:pPr>
    </w:p>
    <w:p w:rsidR="003F789A" w:rsidRPr="007D3FC0" w:rsidRDefault="003F789A" w:rsidP="00AB264C">
      <w:pPr>
        <w:spacing w:after="0" w:line="360" w:lineRule="auto"/>
        <w:rPr>
          <w:sz w:val="20"/>
        </w:rPr>
      </w:pPr>
      <w:r w:rsidRPr="007D3FC0">
        <w:rPr>
          <w:sz w:val="20"/>
        </w:rPr>
        <w:t xml:space="preserve">The use of trade-offs can also focus people's attention on those things that are valued most. Inevitably, choice experiments must identify a limited number of attributes for the experiments to be workable. However, the use of attributes can also obscure the role of bundled values and the more </w:t>
      </w:r>
      <w:r w:rsidRPr="007D3FC0">
        <w:rPr>
          <w:sz w:val="20"/>
        </w:rPr>
        <w:lastRenderedPageBreak/>
        <w:t xml:space="preserve">holistic perceptions of the environment.  Nevertheless,  the concept of ES does lend itself to presentation within choice experiments and calling upon respondents to make trade-offs can be an effective means to force them to focus on what they value most. For this reason, the papers by Scholte et al and </w:t>
      </w:r>
      <w:proofErr w:type="spellStart"/>
      <w:r w:rsidRPr="007D3FC0">
        <w:rPr>
          <w:sz w:val="20"/>
        </w:rPr>
        <w:t>Zanten</w:t>
      </w:r>
      <w:proofErr w:type="spellEnd"/>
      <w:r w:rsidRPr="007D3FC0">
        <w:rPr>
          <w:sz w:val="20"/>
        </w:rPr>
        <w:t xml:space="preserve"> et al. both make use of choice experiments without the monetary attribute associated with economic valuation. </w:t>
      </w:r>
    </w:p>
    <w:p w:rsidR="003F789A" w:rsidRPr="007D3FC0" w:rsidRDefault="003F789A" w:rsidP="00AB264C">
      <w:pPr>
        <w:spacing w:after="0" w:line="360" w:lineRule="auto"/>
        <w:rPr>
          <w:sz w:val="20"/>
        </w:rPr>
      </w:pPr>
    </w:p>
    <w:p w:rsidR="003F789A" w:rsidRPr="007D3FC0" w:rsidRDefault="003F789A" w:rsidP="00AB264C">
      <w:pPr>
        <w:spacing w:after="0" w:line="360" w:lineRule="auto"/>
        <w:rPr>
          <w:sz w:val="20"/>
        </w:rPr>
      </w:pPr>
      <w:proofErr w:type="spellStart"/>
      <w:r w:rsidRPr="007D3FC0">
        <w:rPr>
          <w:sz w:val="20"/>
        </w:rPr>
        <w:t>Multicriteria</w:t>
      </w:r>
      <w:proofErr w:type="spellEnd"/>
      <w:r w:rsidRPr="007D3FC0">
        <w:rPr>
          <w:sz w:val="20"/>
        </w:rPr>
        <w:t xml:space="preserve"> analysis and scenario-based comparisons (e.g. TESSA) are other means to encourage people to make trade-offs. Participatory </w:t>
      </w:r>
      <w:proofErr w:type="spellStart"/>
      <w:r w:rsidRPr="007D3FC0">
        <w:rPr>
          <w:sz w:val="20"/>
        </w:rPr>
        <w:t>multicriteria</w:t>
      </w:r>
      <w:proofErr w:type="spellEnd"/>
      <w:r w:rsidRPr="007D3FC0">
        <w:rPr>
          <w:sz w:val="20"/>
        </w:rPr>
        <w:t xml:space="preserve"> analysis is a method that can be used in a deliberative process as described by Joyce. It can also be combined with scoring and weighting approaches to explore heterogeneity in values and preferences as discussed by Schmidt et al.  In practice, the wide range and origins of socio-cultural values is such that not all values are commensurable or separable. Scholte et al describe the presence of a continuous range of values from the purely instrumental to the more </w:t>
      </w:r>
      <w:proofErr w:type="spellStart"/>
      <w:r w:rsidRPr="007D3FC0">
        <w:rPr>
          <w:sz w:val="20"/>
        </w:rPr>
        <w:t>biocentric</w:t>
      </w:r>
      <w:proofErr w:type="spellEnd"/>
      <w:r w:rsidRPr="007D3FC0">
        <w:rPr>
          <w:sz w:val="20"/>
        </w:rPr>
        <w:t>. However, methods of SCV have an important role in determining the extent of comparability and commensurability along such a continuum.</w:t>
      </w:r>
    </w:p>
    <w:p w:rsidR="003F789A" w:rsidRDefault="003F789A" w:rsidP="006A5FD6">
      <w:pPr>
        <w:rPr>
          <w:rFonts w:cs="Arial"/>
        </w:rPr>
      </w:pPr>
      <w:r>
        <w:rPr>
          <w:rFonts w:cs="Arial"/>
        </w:rPr>
        <w:br w:type="page"/>
      </w:r>
    </w:p>
    <w:p w:rsidR="003F789A" w:rsidRDefault="003F789A" w:rsidP="00E14D2C">
      <w:pPr>
        <w:keepNext/>
        <w:tabs>
          <w:tab w:val="left" w:pos="880"/>
        </w:tabs>
        <w:autoSpaceDE w:val="0"/>
        <w:autoSpaceDN w:val="0"/>
        <w:adjustRightInd w:val="0"/>
        <w:spacing w:after="0" w:line="360" w:lineRule="auto"/>
        <w:jc w:val="center"/>
        <w:rPr>
          <w:rFonts w:cs="Arial"/>
          <w:sz w:val="20"/>
          <w:lang w:eastAsia="nl-NL"/>
        </w:rPr>
      </w:pPr>
    </w:p>
    <w:p w:rsidR="003F789A" w:rsidRPr="00643DD4" w:rsidRDefault="003F789A" w:rsidP="00E55058">
      <w:pPr>
        <w:pStyle w:val="NormalWeb"/>
        <w:tabs>
          <w:tab w:val="left" w:pos="880"/>
        </w:tabs>
        <w:spacing w:line="360" w:lineRule="auto"/>
        <w:ind w:left="480" w:hanging="480"/>
      </w:pPr>
    </w:p>
    <w:p w:rsidR="003F789A" w:rsidRDefault="003F789A" w:rsidP="003F14F8">
      <w:pPr>
        <w:suppressAutoHyphens w:val="0"/>
        <w:spacing w:after="0"/>
        <w:jc w:val="left"/>
        <w:rPr>
          <w:b/>
          <w:color w:val="9C9C9C"/>
          <w:sz w:val="40"/>
          <w:szCs w:val="40"/>
        </w:rPr>
      </w:pPr>
    </w:p>
    <w:sectPr w:rsidR="003F789A" w:rsidSect="00B86FA3">
      <w:pgSz w:w="11906" w:h="16838" w:code="9"/>
      <w:pgMar w:top="1440" w:right="1440" w:bottom="1985" w:left="1440" w:header="709"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4E3" w:rsidRDefault="00A304E3">
      <w:pPr>
        <w:spacing w:after="0" w:line="240" w:lineRule="auto"/>
      </w:pPr>
      <w:r>
        <w:separator/>
      </w:r>
    </w:p>
  </w:endnote>
  <w:endnote w:type="continuationSeparator" w:id="0">
    <w:p w:rsidR="00A304E3" w:rsidRDefault="00A30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LucidaSansEF">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Bold">
    <w:altName w:val="Times New Roman"/>
    <w:panose1 w:val="00000000000000000000"/>
    <w:charset w:val="00"/>
    <w:family w:val="auto"/>
    <w:notTrueType/>
    <w:pitch w:val="variable"/>
    <w:sig w:usb0="00000003" w:usb1="00000000" w:usb2="00000000" w:usb3="00000000" w:csb0="00000001" w:csb1="00000000"/>
  </w:font>
  <w:font w:name="Futura-Normal">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obe Devanagari">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liverRM">
    <w:panose1 w:val="00000000000000000000"/>
    <w:charset w:val="00"/>
    <w:family w:val="auto"/>
    <w:notTrueType/>
    <w:pitch w:val="default"/>
    <w:sig w:usb0="00000003" w:usb1="00000000" w:usb2="00000000" w:usb3="00000000" w:csb0="00000001" w:csb1="00000000"/>
  </w:font>
  <w:font w:name="AdvP497E2">
    <w:panose1 w:val="00000000000000000000"/>
    <w:charset w:val="00"/>
    <w:family w:val="roman"/>
    <w:notTrueType/>
    <w:pitch w:val="default"/>
    <w:sig w:usb0="00000003" w:usb1="00000000" w:usb2="00000000" w:usb3="00000000" w:csb0="00000001" w:csb1="00000000"/>
  </w:font>
  <w:font w:name="AdvT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Pr="00E362D3" w:rsidRDefault="006B65E3">
    <w:pPr>
      <w:pStyle w:val="Footer"/>
      <w:spacing w:before="120"/>
      <w:rPr>
        <w:rStyle w:val="PageNumber"/>
      </w:rPr>
    </w:pPr>
    <w:r>
      <w:rPr>
        <w:noProof/>
        <w:lang w:val="en-IE" w:eastAsia="en-IE"/>
      </w:rPr>
      <w:drawing>
        <wp:anchor distT="0" distB="0" distL="114300" distR="114300" simplePos="0" relativeHeight="251659264" behindDoc="1" locked="0" layoutInCell="1" allowOverlap="1">
          <wp:simplePos x="0" y="0"/>
          <wp:positionH relativeFrom="page">
            <wp:posOffset>275590</wp:posOffset>
          </wp:positionH>
          <wp:positionV relativeFrom="page">
            <wp:posOffset>9535795</wp:posOffset>
          </wp:positionV>
          <wp:extent cx="7143750" cy="948690"/>
          <wp:effectExtent l="0" t="0" r="0" b="3810"/>
          <wp:wrapNone/>
          <wp:docPr id="1" name="Picture 8"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Foot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6192" behindDoc="0" locked="0" layoutInCell="1" allowOverlap="1">
              <wp:simplePos x="0" y="0"/>
              <wp:positionH relativeFrom="page">
                <wp:posOffset>720090</wp:posOffset>
              </wp:positionH>
              <wp:positionV relativeFrom="page">
                <wp:posOffset>9969500</wp:posOffset>
              </wp:positionV>
              <wp:extent cx="1371600" cy="22860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5E3" w:rsidRPr="00E362D3" w:rsidRDefault="006B65E3"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067695">
                            <w:rPr>
                              <w:rStyle w:val="PageNumber"/>
                              <w:noProof/>
                              <w:color w:val="3B3D3C"/>
                            </w:rPr>
                            <w:t>92</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56.7pt;margin-top:785pt;width:108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PswIAAL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" filled="f" stroked="f">
              <v:textbox inset="0">
                <w:txbxContent>
                  <w:p w:rsidR="006B65E3" w:rsidRPr="00E362D3" w:rsidRDefault="006B65E3"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067695">
                      <w:rPr>
                        <w:rStyle w:val="PageNumber"/>
                        <w:noProof/>
                        <w:color w:val="3B3D3C"/>
                      </w:rPr>
                      <w:t>92</w:t>
                    </w:r>
                    <w:r w:rsidRPr="00E362D3">
                      <w:rPr>
                        <w:rStyle w:val="PageNumber"/>
                        <w:color w:val="3B3D3C"/>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Pr="00572A01" w:rsidRDefault="006B65E3" w:rsidP="00D807D5">
    <w:pPr>
      <w:pStyle w:val="Footer"/>
    </w:pPr>
    <w:r>
      <w:rPr>
        <w:noProof/>
        <w:lang w:val="en-IE" w:eastAsia="en-IE"/>
      </w:rPr>
      <w:drawing>
        <wp:anchor distT="0" distB="0" distL="114300" distR="114300" simplePos="0" relativeHeight="251658240" behindDoc="1" locked="0" layoutInCell="1" allowOverlap="1">
          <wp:simplePos x="0" y="0"/>
          <wp:positionH relativeFrom="page">
            <wp:posOffset>215900</wp:posOffset>
          </wp:positionH>
          <wp:positionV relativeFrom="page">
            <wp:posOffset>9526905</wp:posOffset>
          </wp:positionV>
          <wp:extent cx="7143750" cy="948690"/>
          <wp:effectExtent l="0" t="0" r="0" b="3810"/>
          <wp:wrapNone/>
          <wp:docPr id="3" name="Picture 9"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Foot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7216" behindDoc="0" locked="0" layoutInCell="1" allowOverlap="1">
              <wp:simplePos x="0" y="0"/>
              <wp:positionH relativeFrom="page">
                <wp:posOffset>5447665</wp:posOffset>
              </wp:positionH>
              <wp:positionV relativeFrom="page">
                <wp:posOffset>9969500</wp:posOffset>
              </wp:positionV>
              <wp:extent cx="1381760" cy="240665"/>
              <wp:effectExtent l="0" t="0" r="8890" b="6985"/>
              <wp:wrapSquare wrapText="bothSides"/>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5E3" w:rsidRPr="00E362D3" w:rsidRDefault="006B65E3"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067695">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428.95pt;margin-top:785pt;width:108.8pt;height:1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JJuAIAAL0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" filled="f" stroked="f">
              <v:textbox inset=",,0">
                <w:txbxContent>
                  <w:p w:rsidR="006B65E3" w:rsidRPr="00E362D3" w:rsidRDefault="006B65E3"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067695">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Default="006B65E3">
    <w:pPr>
      <w:pStyle w:val="Footer"/>
    </w:pPr>
    <w:r w:rsidRPr="00572A01">
      <w:rPr>
        <w:color w:val="1D5B22"/>
        <w:sz w:val="20"/>
      </w:rPr>
      <w:t>This page is intentionally blank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Default="006B65E3">
    <w:pPr>
      <w:pStyle w:val="Footer"/>
      <w:jc w:val="center"/>
    </w:pPr>
    <w:r>
      <w:fldChar w:fldCharType="begin"/>
    </w:r>
    <w:r>
      <w:instrText xml:space="preserve"> PAGE   \* MERGEFORMAT </w:instrText>
    </w:r>
    <w:r>
      <w:fldChar w:fldCharType="separate"/>
    </w:r>
    <w:r w:rsidR="00067695">
      <w:rPr>
        <w:noProof/>
      </w:rPr>
      <w:t>93</w:t>
    </w:r>
    <w:r>
      <w:rPr>
        <w:noProof/>
      </w:rPr>
      <w:fldChar w:fldCharType="end"/>
    </w:r>
  </w:p>
  <w:p w:rsidR="006B65E3" w:rsidRDefault="006B65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4E3" w:rsidRDefault="00A304E3">
      <w:pPr>
        <w:spacing w:after="0" w:line="240" w:lineRule="auto"/>
      </w:pPr>
      <w:r>
        <w:separator/>
      </w:r>
    </w:p>
  </w:footnote>
  <w:footnote w:type="continuationSeparator" w:id="0">
    <w:p w:rsidR="00A304E3" w:rsidRDefault="00A304E3">
      <w:pPr>
        <w:spacing w:after="0" w:line="240" w:lineRule="auto"/>
      </w:pPr>
      <w:r>
        <w:continuationSeparator/>
      </w:r>
    </w:p>
  </w:footnote>
  <w:footnote w:id="1">
    <w:p w:rsidR="006B65E3" w:rsidRDefault="006B65E3" w:rsidP="00857048">
      <w:pPr>
        <w:pStyle w:val="FootnoteText"/>
      </w:pPr>
      <w:r w:rsidRPr="00B45AEC">
        <w:rPr>
          <w:rStyle w:val="FootnoteReference"/>
          <w:sz w:val="18"/>
          <w:szCs w:val="18"/>
        </w:rPr>
        <w:footnoteRef/>
      </w:r>
      <w:r w:rsidRPr="00B45AEC">
        <w:rPr>
          <w:sz w:val="18"/>
          <w:szCs w:val="18"/>
        </w:rPr>
        <w:t xml:space="preserve"> We conceptualize support of biodiversity as a warm-glow value, which reflects the satisfaction people may derive from altruism towards nature. As such, it can be considered a benefit to humans and thus an ecosystem service </w:t>
      </w:r>
      <w:r w:rsidRPr="00B45AEC">
        <w:rPr>
          <w:sz w:val="18"/>
          <w:szCs w:val="18"/>
        </w:rPr>
        <w:fldChar w:fldCharType="begin" w:fldLock="1"/>
      </w:r>
      <w:r w:rsidRPr="00B45AEC">
        <w:rPr>
          <w:sz w:val="18"/>
          <w:szCs w:val="18"/>
        </w:rPr>
        <w:instrText>ADDIN CSL_CITATION { "citationItems" : [ { "id" : "ITEM-1", "itemData" : { "DOI" : "http://dx.doi.org/10.1016/j.ecolecon.2013.09.002", "ISSN" : "0921-8009", "abstract" : "Abstract Various attempts have been made to amalgamate the concepts of intrinsic value and ecosystem services, often with a stop-over at the economic concept of existence value. These attempts are based on a confusion of concepts, however. In this article, two types of non-use values are distinguished: warm glow value, related to the satisfaction people may derive from altruism towards nature, and existence value, related to the satisfaction people may derive from the mere knowledge that nature exists and originating in the human need for self-transcendence. As benefits to humans, warm glow and existence values can be considered ecosystem services. Neither warm glow value nor existence value represents benefits to nature itself, however. Intrinsic value lies outside the scope of the wide palette of ecosystem services.  Although the concept of ecosystem services does not cover benefits to nature and the intrinsic value of such benefits, intrinsic value is not necessarily incompatible with economic valuation. Although a deontological ethics does not allow economic valuation of nature as an end in itself, consequentialism does. In consequentialism, however, intrinsic value is not attributed to nature itself, but to benefits to nature. These benefits can be economically valued on the basis of benefit transfer.", "author" : [ { "dropping-particle" : "", "family" : "Davidson", "given" : "Marc D.", "non-dropping-particle" : "", "parse-names" : false, "suffix" : "" } ], "container-title" : "Ecological Economics", "id" : "ITEM-1", "issue" : "0", "issued" : { "date-parts" : [ [ "2013", "11" ] ] }, "page" : "171-177", "publisher" : "Elsevier B.V.", "title" : "On the relation between ecosystem services, intrinsic value, existence value and economic valuation", "type" : "article-journal", "volume" : "95" }, "uris" : [ "http://www.mendeley.com/documents/?uuid=8424ca3c-e604-49fa-84bc-727e2395e93e" ] } ], "mendeley" : { "formattedCitation" : "(Davidson, 2013)", "plainTextFormattedCitation" : "(Davidson, 2013)", "previouslyFormattedCitation" : "(Davidson, 2013)" }, "properties" : { "noteIndex" : 0 }, "schema" : "https://github.com/citation-style-language/schema/raw/master/csl-citation.json" }</w:instrText>
      </w:r>
      <w:r w:rsidRPr="00B45AEC">
        <w:rPr>
          <w:sz w:val="18"/>
          <w:szCs w:val="18"/>
        </w:rPr>
        <w:fldChar w:fldCharType="separate"/>
      </w:r>
      <w:r w:rsidRPr="00B45AEC">
        <w:rPr>
          <w:noProof/>
          <w:sz w:val="18"/>
          <w:szCs w:val="18"/>
        </w:rPr>
        <w:t>(Davidson, 2013)</w:t>
      </w:r>
      <w:r w:rsidRPr="00B45AEC">
        <w:rPr>
          <w:sz w:val="18"/>
          <w:szCs w:val="18"/>
        </w:rPr>
        <w:fldChar w:fldCharType="end"/>
      </w:r>
      <w:r w:rsidRPr="00B45AEC">
        <w:rPr>
          <w:sz w:val="18"/>
          <w:szCs w:val="18"/>
        </w:rPr>
        <w:t>.</w:t>
      </w:r>
    </w:p>
  </w:footnote>
  <w:footnote w:id="2">
    <w:p w:rsidR="006B65E3" w:rsidRDefault="006B65E3" w:rsidP="00E55058">
      <w:pPr>
        <w:pStyle w:val="FootnoteText"/>
      </w:pPr>
      <w:r>
        <w:rPr>
          <w:rStyle w:val="FootnoteReference"/>
        </w:rPr>
        <w:footnoteRef/>
      </w:r>
      <w:r>
        <w:t xml:space="preserve"> F</w:t>
      </w:r>
      <w:r>
        <w:rPr>
          <w:bCs/>
        </w:rPr>
        <w:t xml:space="preserve">or examples to different approaches see </w:t>
      </w:r>
      <w:r>
        <w:rPr>
          <w:rFonts w:cs="Segoe UI"/>
        </w:rPr>
        <w:t xml:space="preserve">Bernue </w:t>
      </w:r>
      <w:r>
        <w:rPr>
          <w:rFonts w:cs="Tahoma"/>
          <w:color w:val="000000"/>
        </w:rPr>
        <w:t xml:space="preserve">et al, 2014, </w:t>
      </w:r>
      <w:r>
        <w:t xml:space="preserve">Bieling, 2014, Tomich et al [in] Ash et, 2010, </w:t>
      </w:r>
      <w:r>
        <w:rPr>
          <w:rFonts w:cs="Tahoma"/>
          <w:color w:val="0A0A0A"/>
        </w:rPr>
        <w:t xml:space="preserve">Mac Kenzie, 2012, </w:t>
      </w:r>
      <w:r>
        <w:rPr>
          <w:rFonts w:cs="Segoe UI"/>
        </w:rPr>
        <w:t xml:space="preserve">Todd, 2014, Cáceres et al, 2015, </w:t>
      </w:r>
      <w:r>
        <w:rPr>
          <w:rFonts w:cs="Tahoma"/>
          <w:color w:val="000000"/>
        </w:rPr>
        <w:t xml:space="preserve">Kati and </w:t>
      </w:r>
      <w:proofErr w:type="spellStart"/>
      <w:r>
        <w:rPr>
          <w:rFonts w:cs="Tahoma"/>
          <w:color w:val="000000"/>
        </w:rPr>
        <w:t>Jari</w:t>
      </w:r>
      <w:proofErr w:type="spellEnd"/>
      <w:r>
        <w:rPr>
          <w:rFonts w:cs="Tahoma"/>
          <w:color w:val="000000"/>
        </w:rPr>
        <w:t>, 2016 (forthcoming)</w:t>
      </w:r>
      <w:r>
        <w:rPr>
          <w:bCs/>
        </w:rPr>
        <w:t xml:space="preserve">, </w:t>
      </w:r>
      <w:r w:rsidRPr="00D14A7F">
        <w:rPr>
          <w:rFonts w:cs="Tahoma"/>
          <w:bCs/>
          <w:color w:val="0A0A0A"/>
        </w:rPr>
        <w:t xml:space="preserve">Raymond </w:t>
      </w:r>
      <w:r>
        <w:rPr>
          <w:rFonts w:cs="Tahoma"/>
          <w:bCs/>
          <w:color w:val="0A0A0A"/>
        </w:rPr>
        <w:t xml:space="preserve">et al, 2009, </w:t>
      </w:r>
      <w:r>
        <w:rPr>
          <w:rFonts w:cs="Segoe UI"/>
        </w:rPr>
        <w:t>Mooney</w:t>
      </w:r>
      <w:r w:rsidRPr="00951756">
        <w:rPr>
          <w:rFonts w:cs="Segoe UI"/>
        </w:rPr>
        <w:t xml:space="preserve"> and Tan, </w:t>
      </w:r>
      <w:r>
        <w:rPr>
          <w:rFonts w:cs="Segoe UI"/>
        </w:rPr>
        <w:t xml:space="preserve">, </w:t>
      </w:r>
      <w:r w:rsidRPr="00951756">
        <w:rPr>
          <w:rFonts w:cs="Segoe UI"/>
        </w:rPr>
        <w:t>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Pr="00557C6E" w:rsidRDefault="006B65E3" w:rsidP="00557C6E">
    <w:pPr>
      <w:rPr>
        <w:sz w:val="20"/>
        <w:lang w:val="nl-NL"/>
      </w:rPr>
    </w:pPr>
    <w:r>
      <w:rPr>
        <w:sz w:val="20"/>
        <w:lang w:val="nl-NL"/>
      </w:rPr>
      <w:t xml:space="preserve">Bullock, Joyce, Collier, Schmidt, Walz, Scholte, Vervurg and Zanten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Pr="00F8489E" w:rsidRDefault="006B65E3" w:rsidP="00F8489E">
    <w:pPr>
      <w:pStyle w:val="Header"/>
      <w:spacing w:after="0"/>
      <w:rPr>
        <w:sz w:val="20"/>
      </w:rPr>
    </w:pPr>
    <w:r>
      <w:rPr>
        <w:sz w:val="20"/>
      </w:rPr>
      <w:t>M</w:t>
    </w:r>
    <w:r w:rsidRPr="00F8489E">
      <w:rPr>
        <w:sz w:val="20"/>
      </w:rPr>
      <w:t xml:space="preserve">onetary </w:t>
    </w:r>
    <w:r>
      <w:rPr>
        <w:sz w:val="20"/>
      </w:rPr>
      <w:t>and Social V</w:t>
    </w:r>
    <w:r w:rsidRPr="00F8489E">
      <w:rPr>
        <w:sz w:val="20"/>
      </w:rPr>
      <w:t>aluation</w:t>
    </w:r>
    <w:r>
      <w:rPr>
        <w:sz w:val="20"/>
      </w:rPr>
      <w:t>: State of the Art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E3" w:rsidRDefault="006B65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AE63B36"/>
    <w:lvl w:ilvl="0">
      <w:start w:val="1"/>
      <w:numFmt w:val="decimal"/>
      <w:pStyle w:val="ListNumber3"/>
      <w:lvlText w:val="%1."/>
      <w:lvlJc w:val="left"/>
      <w:pPr>
        <w:ind w:left="927" w:hanging="360"/>
      </w:pPr>
      <w:rPr>
        <w:rFonts w:ascii="Arial" w:hAnsi="Arial" w:cs="Times New Roman" w:hint="default"/>
        <w:color w:val="683A76"/>
        <w:sz w:val="14"/>
      </w:rPr>
    </w:lvl>
  </w:abstractNum>
  <w:abstractNum w:abstractNumId="1">
    <w:nsid w:val="FFFFFF7F"/>
    <w:multiLevelType w:val="singleLevel"/>
    <w:tmpl w:val="68B8E996"/>
    <w:lvl w:ilvl="0">
      <w:start w:val="1"/>
      <w:numFmt w:val="decimal"/>
      <w:pStyle w:val="ListNumber2"/>
      <w:lvlText w:val="%1."/>
      <w:lvlJc w:val="left"/>
      <w:pPr>
        <w:ind w:left="644" w:hanging="360"/>
      </w:pPr>
      <w:rPr>
        <w:rFonts w:ascii="Arial" w:hAnsi="Arial" w:cs="Times New Roman" w:hint="default"/>
        <w:color w:val="683A76"/>
        <w:sz w:val="14"/>
      </w:rPr>
    </w:lvl>
  </w:abstractNum>
  <w:abstractNum w:abstractNumId="2">
    <w:nsid w:val="FFFFFF82"/>
    <w:multiLevelType w:val="singleLevel"/>
    <w:tmpl w:val="052A5E18"/>
    <w:lvl w:ilvl="0">
      <w:start w:val="1"/>
      <w:numFmt w:val="bullet"/>
      <w:pStyle w:val="ListBullet3"/>
      <w:lvlText w:val=""/>
      <w:lvlJc w:val="left"/>
      <w:pPr>
        <w:ind w:left="926" w:hanging="360"/>
      </w:pPr>
      <w:rPr>
        <w:rFonts w:ascii="Symbol" w:hAnsi="Symbol" w:hint="default"/>
        <w:color w:val="683A76"/>
        <w:w w:val="100"/>
        <w:position w:val="0"/>
        <w:sz w:val="20"/>
      </w:rPr>
    </w:lvl>
  </w:abstractNum>
  <w:abstractNum w:abstractNumId="3">
    <w:nsid w:val="FFFFFF83"/>
    <w:multiLevelType w:val="singleLevel"/>
    <w:tmpl w:val="06183E7C"/>
    <w:lvl w:ilvl="0">
      <w:start w:val="1"/>
      <w:numFmt w:val="bullet"/>
      <w:pStyle w:val="ListBullet2"/>
      <w:lvlText w:val=""/>
      <w:lvlJc w:val="left"/>
      <w:pPr>
        <w:ind w:left="644" w:hanging="360"/>
      </w:pPr>
      <w:rPr>
        <w:rFonts w:ascii="Symbol" w:hAnsi="Symbol" w:hint="default"/>
        <w:color w:val="683A76"/>
        <w:w w:val="100"/>
        <w:position w:val="0"/>
        <w:sz w:val="20"/>
      </w:rPr>
    </w:lvl>
  </w:abstractNum>
  <w:abstractNum w:abstractNumId="4">
    <w:nsid w:val="FFFFFF88"/>
    <w:multiLevelType w:val="singleLevel"/>
    <w:tmpl w:val="5DFE77D6"/>
    <w:lvl w:ilvl="0">
      <w:start w:val="1"/>
      <w:numFmt w:val="decimal"/>
      <w:pStyle w:val="ListNumber"/>
      <w:lvlText w:val="%1."/>
      <w:lvlJc w:val="left"/>
      <w:pPr>
        <w:ind w:left="360" w:hanging="360"/>
      </w:pPr>
      <w:rPr>
        <w:rFonts w:cs="Times New Roman" w:hint="default"/>
        <w:color w:val="683A76"/>
        <w:sz w:val="18"/>
      </w:rPr>
    </w:lvl>
  </w:abstractNum>
  <w:abstractNum w:abstractNumId="5">
    <w:nsid w:val="FFFFFF89"/>
    <w:multiLevelType w:val="singleLevel"/>
    <w:tmpl w:val="0B369590"/>
    <w:lvl w:ilvl="0">
      <w:start w:val="1"/>
      <w:numFmt w:val="bullet"/>
      <w:pStyle w:val="Listcharacter3rdlevel"/>
      <w:lvlText w:val=""/>
      <w:lvlJc w:val="left"/>
      <w:pPr>
        <w:ind w:left="360" w:hanging="360"/>
      </w:pPr>
      <w:rPr>
        <w:rFonts w:ascii="Symbol" w:hAnsi="Symbol" w:hint="default"/>
        <w:color w:val="683A76"/>
        <w:w w:val="100"/>
        <w:position w:val="0"/>
        <w:sz w:val="24"/>
      </w:rPr>
    </w:lvl>
  </w:abstractNum>
  <w:abstractNum w:abstractNumId="6">
    <w:nsid w:val="0D0E77A0"/>
    <w:multiLevelType w:val="multilevel"/>
    <w:tmpl w:val="80A23BF2"/>
    <w:lvl w:ilvl="0">
      <w:start w:val="1"/>
      <w:numFmt w:val="decimal"/>
      <w:lvlText w:val="%1."/>
      <w:lvlJc w:val="left"/>
      <w:pPr>
        <w:ind w:left="930" w:hanging="57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422" w:hanging="1080"/>
      </w:pPr>
      <w:rPr>
        <w:rFonts w:cs="Times New Roman" w:hint="default"/>
      </w:rPr>
    </w:lvl>
    <w:lvl w:ilvl="3">
      <w:start w:val="1"/>
      <w:numFmt w:val="decimal"/>
      <w:isLgl/>
      <w:lvlText w:val="%1.%2.%3.%4"/>
      <w:lvlJc w:val="left"/>
      <w:pPr>
        <w:ind w:left="3273" w:hanging="1440"/>
      </w:pPr>
      <w:rPr>
        <w:rFonts w:cs="Times New Roman" w:hint="default"/>
      </w:rPr>
    </w:lvl>
    <w:lvl w:ilvl="4">
      <w:start w:val="1"/>
      <w:numFmt w:val="decimal"/>
      <w:isLgl/>
      <w:lvlText w:val="%1.%2.%3.%4.%5"/>
      <w:lvlJc w:val="left"/>
      <w:pPr>
        <w:ind w:left="3764" w:hanging="1440"/>
      </w:pPr>
      <w:rPr>
        <w:rFonts w:cs="Times New Roman" w:hint="default"/>
      </w:rPr>
    </w:lvl>
    <w:lvl w:ilvl="5">
      <w:start w:val="1"/>
      <w:numFmt w:val="decimal"/>
      <w:isLgl/>
      <w:lvlText w:val="%1.%2.%3.%4.%5.%6"/>
      <w:lvlJc w:val="left"/>
      <w:pPr>
        <w:ind w:left="4615" w:hanging="1800"/>
      </w:pPr>
      <w:rPr>
        <w:rFonts w:cs="Times New Roman" w:hint="default"/>
      </w:rPr>
    </w:lvl>
    <w:lvl w:ilvl="6">
      <w:start w:val="1"/>
      <w:numFmt w:val="decimal"/>
      <w:isLgl/>
      <w:lvlText w:val="%1.%2.%3.%4.%5.%6.%7"/>
      <w:lvlJc w:val="left"/>
      <w:pPr>
        <w:ind w:left="5466" w:hanging="2160"/>
      </w:pPr>
      <w:rPr>
        <w:rFonts w:cs="Times New Roman" w:hint="default"/>
      </w:rPr>
    </w:lvl>
    <w:lvl w:ilvl="7">
      <w:start w:val="1"/>
      <w:numFmt w:val="decimal"/>
      <w:isLgl/>
      <w:lvlText w:val="%1.%2.%3.%4.%5.%6.%7.%8"/>
      <w:lvlJc w:val="left"/>
      <w:pPr>
        <w:ind w:left="6317" w:hanging="2520"/>
      </w:pPr>
      <w:rPr>
        <w:rFonts w:cs="Times New Roman" w:hint="default"/>
      </w:rPr>
    </w:lvl>
    <w:lvl w:ilvl="8">
      <w:start w:val="1"/>
      <w:numFmt w:val="decimal"/>
      <w:isLgl/>
      <w:lvlText w:val="%1.%2.%3.%4.%5.%6.%7.%8.%9"/>
      <w:lvlJc w:val="left"/>
      <w:pPr>
        <w:ind w:left="7168" w:hanging="2880"/>
      </w:pPr>
      <w:rPr>
        <w:rFonts w:cs="Times New Roman" w:hint="default"/>
      </w:rPr>
    </w:lvl>
  </w:abstractNum>
  <w:abstractNum w:abstractNumId="7">
    <w:nsid w:val="2347245E"/>
    <w:multiLevelType w:val="multilevel"/>
    <w:tmpl w:val="F9EA4EB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860"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8">
    <w:nsid w:val="23BB7F96"/>
    <w:multiLevelType w:val="hybridMultilevel"/>
    <w:tmpl w:val="F528BB12"/>
    <w:lvl w:ilvl="0" w:tplc="E9BA245A">
      <w:start w:val="9"/>
      <w:numFmt w:val="lowerLetter"/>
      <w:lvlText w:val="%1."/>
      <w:lvlJc w:val="left"/>
      <w:pPr>
        <w:tabs>
          <w:tab w:val="num" w:pos="720"/>
        </w:tabs>
        <w:ind w:left="720" w:hanging="360"/>
      </w:pPr>
      <w:rPr>
        <w:rFonts w:cs="Times New Roman" w:hint="default"/>
      </w:rPr>
    </w:lvl>
    <w:lvl w:ilvl="1" w:tplc="317A9F34">
      <w:start w:val="2"/>
      <w:numFmt w:val="lowerRoman"/>
      <w:lvlText w:val="%2."/>
      <w:lvlJc w:val="left"/>
      <w:pPr>
        <w:tabs>
          <w:tab w:val="num" w:pos="1800"/>
        </w:tabs>
        <w:ind w:left="1800" w:hanging="72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5974D62"/>
    <w:multiLevelType w:val="hybridMultilevel"/>
    <w:tmpl w:val="61845C5A"/>
    <w:lvl w:ilvl="0" w:tplc="60622AFE">
      <w:start w:val="1"/>
      <w:numFmt w:val="bullet"/>
      <w:pStyle w:val="Listbullet2ndlevel"/>
      <w:lvlText w:val="•"/>
      <w:lvlJc w:val="left"/>
      <w:pPr>
        <w:tabs>
          <w:tab w:val="num" w:pos="567"/>
        </w:tabs>
        <w:ind w:left="567" w:hanging="283"/>
      </w:pPr>
      <w:rPr>
        <w:rFonts w:ascii="Times New Roman" w:hAnsi="Times New Roman" w:hint="default"/>
        <w:b/>
        <w:i w:val="0"/>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5C11248"/>
    <w:multiLevelType w:val="multilevel"/>
    <w:tmpl w:val="FE9AF0A0"/>
    <w:lvl w:ilvl="0">
      <w:start w:val="5"/>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11">
    <w:nsid w:val="2698513D"/>
    <w:multiLevelType w:val="multilevel"/>
    <w:tmpl w:val="340C0EDA"/>
    <w:styleLink w:val="OpsommingletterIVM"/>
    <w:lvl w:ilvl="0">
      <w:start w:val="1"/>
      <w:numFmt w:val="lowerLetter"/>
      <w:lvlText w:val="%1."/>
      <w:lvlJc w:val="left"/>
      <w:pPr>
        <w:ind w:left="284" w:hanging="284"/>
      </w:pPr>
      <w:rPr>
        <w:rFonts w:cs="Times New Roman" w:hint="default"/>
      </w:rPr>
    </w:lvl>
    <w:lvl w:ilvl="1">
      <w:start w:val="1"/>
      <w:numFmt w:val="lowerLetter"/>
      <w:lvlText w:val="%2."/>
      <w:lvlJc w:val="left"/>
      <w:pPr>
        <w:ind w:left="568" w:hanging="284"/>
      </w:pPr>
      <w:rPr>
        <w:rFonts w:cs="Times New Roman" w:hint="default"/>
      </w:rPr>
    </w:lvl>
    <w:lvl w:ilvl="2">
      <w:start w:val="1"/>
      <w:numFmt w:val="lowerLetter"/>
      <w:lvlText w:val="%3."/>
      <w:lvlJc w:val="left"/>
      <w:pPr>
        <w:ind w:left="852" w:hanging="284"/>
      </w:pPr>
      <w:rPr>
        <w:rFonts w:cs="Times New Roman" w:hint="default"/>
      </w:rPr>
    </w:lvl>
    <w:lvl w:ilvl="3">
      <w:start w:val="1"/>
      <w:numFmt w:val="decimal"/>
      <w:lvlText w:val="(%4)"/>
      <w:lvlJc w:val="left"/>
      <w:pPr>
        <w:ind w:left="1136" w:hanging="284"/>
      </w:pPr>
      <w:rPr>
        <w:rFonts w:cs="Times New Roman" w:hint="default"/>
      </w:rPr>
    </w:lvl>
    <w:lvl w:ilvl="4">
      <w:start w:val="1"/>
      <w:numFmt w:val="lowerLetter"/>
      <w:lvlText w:val="(%5)"/>
      <w:lvlJc w:val="left"/>
      <w:pPr>
        <w:ind w:left="1420" w:hanging="284"/>
      </w:pPr>
      <w:rPr>
        <w:rFonts w:cs="Times New Roman" w:hint="default"/>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12">
    <w:nsid w:val="28F20125"/>
    <w:multiLevelType w:val="hybridMultilevel"/>
    <w:tmpl w:val="4F74990C"/>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2D1835CB"/>
    <w:multiLevelType w:val="multilevel"/>
    <w:tmpl w:val="F7FC0058"/>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4">
    <w:nsid w:val="2E1A6A2F"/>
    <w:multiLevelType w:val="multilevel"/>
    <w:tmpl w:val="DAFA3E96"/>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5">
    <w:nsid w:val="2E301760"/>
    <w:multiLevelType w:val="multilevel"/>
    <w:tmpl w:val="EFDC5CC4"/>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6">
    <w:nsid w:val="30544BDB"/>
    <w:multiLevelType w:val="multilevel"/>
    <w:tmpl w:val="C5363608"/>
    <w:lvl w:ilvl="0">
      <w:start w:val="4"/>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17">
    <w:nsid w:val="30CE01E1"/>
    <w:multiLevelType w:val="multilevel"/>
    <w:tmpl w:val="E3B65E5E"/>
    <w:lvl w:ilvl="0">
      <w:start w:val="1"/>
      <w:numFmt w:val="decimal"/>
      <w:pStyle w:val="Listnumber1stlevel"/>
      <w:lvlText w:val="%1."/>
      <w:lvlJc w:val="left"/>
      <w:pPr>
        <w:tabs>
          <w:tab w:val="num" w:pos="397"/>
        </w:tabs>
        <w:ind w:left="397" w:hanging="397"/>
      </w:pPr>
      <w:rPr>
        <w:rFonts w:cs="Times New Roman" w:hint="default"/>
        <w:b w:val="0"/>
        <w:i w:val="0"/>
        <w:sz w:val="22"/>
      </w:rPr>
    </w:lvl>
    <w:lvl w:ilvl="1">
      <w:start w:val="1"/>
      <w:numFmt w:val="decimal"/>
      <w:pStyle w:val="Listnumber2ndlevel"/>
      <w:lvlText w:val="%2."/>
      <w:lvlJc w:val="left"/>
      <w:pPr>
        <w:tabs>
          <w:tab w:val="num" w:pos="794"/>
        </w:tabs>
        <w:ind w:left="794" w:hanging="397"/>
      </w:pPr>
      <w:rPr>
        <w:rFonts w:cs="Times New Roman" w:hint="default"/>
      </w:rPr>
    </w:lvl>
    <w:lvl w:ilvl="2">
      <w:start w:val="1"/>
      <w:numFmt w:val="decimal"/>
      <w:pStyle w:val="Listnumber3rdlevel"/>
      <w:lvlText w:val="%3."/>
      <w:lvlJc w:val="left"/>
      <w:pPr>
        <w:tabs>
          <w:tab w:val="num" w:pos="1191"/>
        </w:tabs>
        <w:ind w:left="1191" w:hanging="397"/>
      </w:pPr>
      <w:rPr>
        <w:rFonts w:cs="Times New Roman" w:hint="default"/>
      </w:rPr>
    </w:lvl>
    <w:lvl w:ilvl="3">
      <w:start w:val="1"/>
      <w:numFmt w:val="decimal"/>
      <w:lvlRestart w:val="0"/>
      <w:lvlText w:val="%4."/>
      <w:lvlJc w:val="left"/>
      <w:pPr>
        <w:tabs>
          <w:tab w:val="num" w:pos="1588"/>
        </w:tabs>
        <w:ind w:left="1588" w:hanging="397"/>
      </w:pPr>
      <w:rPr>
        <w:rFonts w:cs="Times New Roman" w:hint="default"/>
      </w:rPr>
    </w:lvl>
    <w:lvl w:ilvl="4">
      <w:start w:val="1"/>
      <w:numFmt w:val="decimal"/>
      <w:lvlRestart w:val="0"/>
      <w:lvlText w:val="%5."/>
      <w:lvlJc w:val="left"/>
      <w:pPr>
        <w:tabs>
          <w:tab w:val="num" w:pos="1985"/>
        </w:tabs>
        <w:ind w:left="1985" w:hanging="397"/>
      </w:pPr>
      <w:rPr>
        <w:rFonts w:cs="Times New Roman" w:hint="default"/>
      </w:rPr>
    </w:lvl>
    <w:lvl w:ilvl="5">
      <w:start w:val="1"/>
      <w:numFmt w:val="decimal"/>
      <w:lvlRestart w:val="0"/>
      <w:lvlText w:val="%6."/>
      <w:lvlJc w:val="left"/>
      <w:pPr>
        <w:tabs>
          <w:tab w:val="num" w:pos="2382"/>
        </w:tabs>
        <w:ind w:left="2382" w:hanging="397"/>
      </w:pPr>
      <w:rPr>
        <w:rFonts w:cs="Times New Roman" w:hint="default"/>
      </w:rPr>
    </w:lvl>
    <w:lvl w:ilvl="6">
      <w:start w:val="1"/>
      <w:numFmt w:val="decimal"/>
      <w:lvlRestart w:val="0"/>
      <w:lvlText w:val="%7."/>
      <w:lvlJc w:val="left"/>
      <w:pPr>
        <w:tabs>
          <w:tab w:val="num" w:pos="2779"/>
        </w:tabs>
        <w:ind w:left="2779" w:hanging="397"/>
      </w:pPr>
      <w:rPr>
        <w:rFonts w:cs="Times New Roman" w:hint="default"/>
      </w:rPr>
    </w:lvl>
    <w:lvl w:ilvl="7">
      <w:start w:val="1"/>
      <w:numFmt w:val="decimal"/>
      <w:lvlRestart w:val="0"/>
      <w:lvlText w:val="%8."/>
      <w:lvlJc w:val="left"/>
      <w:pPr>
        <w:tabs>
          <w:tab w:val="num" w:pos="3176"/>
        </w:tabs>
        <w:ind w:left="3176" w:hanging="397"/>
      </w:pPr>
      <w:rPr>
        <w:rFonts w:cs="Times New Roman" w:hint="default"/>
      </w:rPr>
    </w:lvl>
    <w:lvl w:ilvl="8">
      <w:start w:val="1"/>
      <w:numFmt w:val="decimal"/>
      <w:lvlRestart w:val="0"/>
      <w:lvlText w:val="%9."/>
      <w:lvlJc w:val="left"/>
      <w:pPr>
        <w:tabs>
          <w:tab w:val="num" w:pos="3573"/>
        </w:tabs>
        <w:ind w:left="3573" w:hanging="397"/>
      </w:pPr>
      <w:rPr>
        <w:rFonts w:cs="Times New Roman" w:hint="default"/>
      </w:rPr>
    </w:lvl>
  </w:abstractNum>
  <w:abstractNum w:abstractNumId="18">
    <w:nsid w:val="34666069"/>
    <w:multiLevelType w:val="multilevel"/>
    <w:tmpl w:val="D840A272"/>
    <w:lvl w:ilvl="0">
      <w:start w:val="5"/>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9">
    <w:nsid w:val="43A4309A"/>
    <w:multiLevelType w:val="hybridMultilevel"/>
    <w:tmpl w:val="7B90BF14"/>
    <w:lvl w:ilvl="0" w:tplc="0258520C">
      <w:start w:val="1"/>
      <w:numFmt w:val="bullet"/>
      <w:pStyle w:val="Listbullet3rdlevel"/>
      <w:lvlText w:val="•"/>
      <w:lvlJc w:val="left"/>
      <w:pPr>
        <w:tabs>
          <w:tab w:val="num" w:pos="851"/>
        </w:tabs>
        <w:ind w:left="851" w:hanging="284"/>
      </w:pPr>
      <w:rPr>
        <w:rFonts w:ascii="Times New Roman" w:hAnsi="Times New Roman" w:hint="default"/>
        <w:b/>
        <w:i w:val="0"/>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9C95574"/>
    <w:multiLevelType w:val="multilevel"/>
    <w:tmpl w:val="322E7582"/>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21">
    <w:nsid w:val="57AD56B6"/>
    <w:multiLevelType w:val="hybridMultilevel"/>
    <w:tmpl w:val="FE5CB31E"/>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63E334D0"/>
    <w:multiLevelType w:val="hybridMultilevel"/>
    <w:tmpl w:val="3154DB7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AE938E7"/>
    <w:multiLevelType w:val="multilevel"/>
    <w:tmpl w:val="74CC435E"/>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24">
    <w:nsid w:val="6C6402F4"/>
    <w:multiLevelType w:val="hybridMultilevel"/>
    <w:tmpl w:val="09E04AA4"/>
    <w:lvl w:ilvl="0" w:tplc="F6B08574">
      <w:start w:val="1"/>
      <w:numFmt w:val="decimal"/>
      <w:lvlText w:val="%1."/>
      <w:lvlJc w:val="left"/>
      <w:pPr>
        <w:tabs>
          <w:tab w:val="num" w:pos="720"/>
        </w:tabs>
        <w:ind w:left="720" w:hanging="360"/>
      </w:pPr>
      <w:rPr>
        <w:rFonts w:cs="Times New Roman"/>
      </w:rPr>
    </w:lvl>
    <w:lvl w:ilvl="1" w:tplc="49966EBE">
      <w:start w:val="898"/>
      <w:numFmt w:val="bullet"/>
      <w:lvlText w:val="–"/>
      <w:lvlJc w:val="left"/>
      <w:pPr>
        <w:tabs>
          <w:tab w:val="num" w:pos="1440"/>
        </w:tabs>
        <w:ind w:left="1440" w:hanging="360"/>
      </w:pPr>
      <w:rPr>
        <w:rFonts w:ascii="Arial" w:hAnsi="Arial" w:hint="default"/>
      </w:rPr>
    </w:lvl>
    <w:lvl w:ilvl="2" w:tplc="F9BC4500" w:tentative="1">
      <w:start w:val="1"/>
      <w:numFmt w:val="decimal"/>
      <w:lvlText w:val="%3."/>
      <w:lvlJc w:val="left"/>
      <w:pPr>
        <w:tabs>
          <w:tab w:val="num" w:pos="2160"/>
        </w:tabs>
        <w:ind w:left="2160" w:hanging="360"/>
      </w:pPr>
      <w:rPr>
        <w:rFonts w:cs="Times New Roman"/>
      </w:rPr>
    </w:lvl>
    <w:lvl w:ilvl="3" w:tplc="9CDE65AC" w:tentative="1">
      <w:start w:val="1"/>
      <w:numFmt w:val="decimal"/>
      <w:lvlText w:val="%4."/>
      <w:lvlJc w:val="left"/>
      <w:pPr>
        <w:tabs>
          <w:tab w:val="num" w:pos="2880"/>
        </w:tabs>
        <w:ind w:left="2880" w:hanging="360"/>
      </w:pPr>
      <w:rPr>
        <w:rFonts w:cs="Times New Roman"/>
      </w:rPr>
    </w:lvl>
    <w:lvl w:ilvl="4" w:tplc="D1B2438C" w:tentative="1">
      <w:start w:val="1"/>
      <w:numFmt w:val="decimal"/>
      <w:lvlText w:val="%5."/>
      <w:lvlJc w:val="left"/>
      <w:pPr>
        <w:tabs>
          <w:tab w:val="num" w:pos="3600"/>
        </w:tabs>
        <w:ind w:left="3600" w:hanging="360"/>
      </w:pPr>
      <w:rPr>
        <w:rFonts w:cs="Times New Roman"/>
      </w:rPr>
    </w:lvl>
    <w:lvl w:ilvl="5" w:tplc="AB16FCEC" w:tentative="1">
      <w:start w:val="1"/>
      <w:numFmt w:val="decimal"/>
      <w:lvlText w:val="%6."/>
      <w:lvlJc w:val="left"/>
      <w:pPr>
        <w:tabs>
          <w:tab w:val="num" w:pos="4320"/>
        </w:tabs>
        <w:ind w:left="4320" w:hanging="360"/>
      </w:pPr>
      <w:rPr>
        <w:rFonts w:cs="Times New Roman"/>
      </w:rPr>
    </w:lvl>
    <w:lvl w:ilvl="6" w:tplc="7D988EF4" w:tentative="1">
      <w:start w:val="1"/>
      <w:numFmt w:val="decimal"/>
      <w:lvlText w:val="%7."/>
      <w:lvlJc w:val="left"/>
      <w:pPr>
        <w:tabs>
          <w:tab w:val="num" w:pos="5040"/>
        </w:tabs>
        <w:ind w:left="5040" w:hanging="360"/>
      </w:pPr>
      <w:rPr>
        <w:rFonts w:cs="Times New Roman"/>
      </w:rPr>
    </w:lvl>
    <w:lvl w:ilvl="7" w:tplc="D20EEB6E" w:tentative="1">
      <w:start w:val="1"/>
      <w:numFmt w:val="decimal"/>
      <w:lvlText w:val="%8."/>
      <w:lvlJc w:val="left"/>
      <w:pPr>
        <w:tabs>
          <w:tab w:val="num" w:pos="5760"/>
        </w:tabs>
        <w:ind w:left="5760" w:hanging="360"/>
      </w:pPr>
      <w:rPr>
        <w:rFonts w:cs="Times New Roman"/>
      </w:rPr>
    </w:lvl>
    <w:lvl w:ilvl="8" w:tplc="9E602F66" w:tentative="1">
      <w:start w:val="1"/>
      <w:numFmt w:val="decimal"/>
      <w:lvlText w:val="%9."/>
      <w:lvlJc w:val="left"/>
      <w:pPr>
        <w:tabs>
          <w:tab w:val="num" w:pos="6480"/>
        </w:tabs>
        <w:ind w:left="6480" w:hanging="360"/>
      </w:pPr>
      <w:rPr>
        <w:rFonts w:cs="Times New Roman"/>
      </w:rPr>
    </w:lvl>
  </w:abstractNum>
  <w:abstractNum w:abstractNumId="25">
    <w:nsid w:val="6DA101AF"/>
    <w:multiLevelType w:val="hybridMultilevel"/>
    <w:tmpl w:val="AF6C70E8"/>
    <w:lvl w:ilvl="0" w:tplc="F2F68FF0">
      <w:start w:val="1"/>
      <w:numFmt w:val="bullet"/>
      <w:lvlText w:val="•"/>
      <w:lvlJc w:val="left"/>
      <w:pPr>
        <w:tabs>
          <w:tab w:val="num" w:pos="720"/>
        </w:tabs>
        <w:ind w:left="720" w:hanging="360"/>
      </w:pPr>
      <w:rPr>
        <w:rFonts w:ascii="Arial" w:hAnsi="Arial" w:hint="default"/>
      </w:rPr>
    </w:lvl>
    <w:lvl w:ilvl="1" w:tplc="55B8CC8A">
      <w:start w:val="898"/>
      <w:numFmt w:val="bullet"/>
      <w:lvlText w:val="–"/>
      <w:lvlJc w:val="left"/>
      <w:pPr>
        <w:tabs>
          <w:tab w:val="num" w:pos="1440"/>
        </w:tabs>
        <w:ind w:left="1440" w:hanging="360"/>
      </w:pPr>
      <w:rPr>
        <w:rFonts w:ascii="Arial" w:hAnsi="Arial" w:hint="default"/>
      </w:rPr>
    </w:lvl>
    <w:lvl w:ilvl="2" w:tplc="6054EF44" w:tentative="1">
      <w:start w:val="1"/>
      <w:numFmt w:val="bullet"/>
      <w:lvlText w:val="•"/>
      <w:lvlJc w:val="left"/>
      <w:pPr>
        <w:tabs>
          <w:tab w:val="num" w:pos="2160"/>
        </w:tabs>
        <w:ind w:left="2160" w:hanging="360"/>
      </w:pPr>
      <w:rPr>
        <w:rFonts w:ascii="Arial" w:hAnsi="Arial" w:hint="default"/>
      </w:rPr>
    </w:lvl>
    <w:lvl w:ilvl="3" w:tplc="B62AFD46" w:tentative="1">
      <w:start w:val="1"/>
      <w:numFmt w:val="bullet"/>
      <w:lvlText w:val="•"/>
      <w:lvlJc w:val="left"/>
      <w:pPr>
        <w:tabs>
          <w:tab w:val="num" w:pos="2880"/>
        </w:tabs>
        <w:ind w:left="2880" w:hanging="360"/>
      </w:pPr>
      <w:rPr>
        <w:rFonts w:ascii="Arial" w:hAnsi="Arial" w:hint="default"/>
      </w:rPr>
    </w:lvl>
    <w:lvl w:ilvl="4" w:tplc="F17472EE" w:tentative="1">
      <w:start w:val="1"/>
      <w:numFmt w:val="bullet"/>
      <w:lvlText w:val="•"/>
      <w:lvlJc w:val="left"/>
      <w:pPr>
        <w:tabs>
          <w:tab w:val="num" w:pos="3600"/>
        </w:tabs>
        <w:ind w:left="3600" w:hanging="360"/>
      </w:pPr>
      <w:rPr>
        <w:rFonts w:ascii="Arial" w:hAnsi="Arial" w:hint="default"/>
      </w:rPr>
    </w:lvl>
    <w:lvl w:ilvl="5" w:tplc="B7943446" w:tentative="1">
      <w:start w:val="1"/>
      <w:numFmt w:val="bullet"/>
      <w:lvlText w:val="•"/>
      <w:lvlJc w:val="left"/>
      <w:pPr>
        <w:tabs>
          <w:tab w:val="num" w:pos="4320"/>
        </w:tabs>
        <w:ind w:left="4320" w:hanging="360"/>
      </w:pPr>
      <w:rPr>
        <w:rFonts w:ascii="Arial" w:hAnsi="Arial" w:hint="default"/>
      </w:rPr>
    </w:lvl>
    <w:lvl w:ilvl="6" w:tplc="DCCAF554" w:tentative="1">
      <w:start w:val="1"/>
      <w:numFmt w:val="bullet"/>
      <w:lvlText w:val="•"/>
      <w:lvlJc w:val="left"/>
      <w:pPr>
        <w:tabs>
          <w:tab w:val="num" w:pos="5040"/>
        </w:tabs>
        <w:ind w:left="5040" w:hanging="360"/>
      </w:pPr>
      <w:rPr>
        <w:rFonts w:ascii="Arial" w:hAnsi="Arial" w:hint="default"/>
      </w:rPr>
    </w:lvl>
    <w:lvl w:ilvl="7" w:tplc="184C95BE" w:tentative="1">
      <w:start w:val="1"/>
      <w:numFmt w:val="bullet"/>
      <w:lvlText w:val="•"/>
      <w:lvlJc w:val="left"/>
      <w:pPr>
        <w:tabs>
          <w:tab w:val="num" w:pos="5760"/>
        </w:tabs>
        <w:ind w:left="5760" w:hanging="360"/>
      </w:pPr>
      <w:rPr>
        <w:rFonts w:ascii="Arial" w:hAnsi="Arial" w:hint="default"/>
      </w:rPr>
    </w:lvl>
    <w:lvl w:ilvl="8" w:tplc="46883DAA" w:tentative="1">
      <w:start w:val="1"/>
      <w:numFmt w:val="bullet"/>
      <w:lvlText w:val="•"/>
      <w:lvlJc w:val="left"/>
      <w:pPr>
        <w:tabs>
          <w:tab w:val="num" w:pos="6480"/>
        </w:tabs>
        <w:ind w:left="6480" w:hanging="360"/>
      </w:pPr>
      <w:rPr>
        <w:rFonts w:ascii="Arial" w:hAnsi="Arial" w:hint="default"/>
      </w:rPr>
    </w:lvl>
  </w:abstractNum>
  <w:abstractNum w:abstractNumId="26">
    <w:nsid w:val="76AB5E98"/>
    <w:multiLevelType w:val="multilevel"/>
    <w:tmpl w:val="8864E94E"/>
    <w:lvl w:ilvl="0">
      <w:start w:val="5"/>
      <w:numFmt w:val="decimal"/>
      <w:lvlText w:val="%1"/>
      <w:lvlJc w:val="left"/>
      <w:pPr>
        <w:tabs>
          <w:tab w:val="num" w:pos="450"/>
        </w:tabs>
        <w:ind w:left="450" w:hanging="450"/>
      </w:pPr>
      <w:rPr>
        <w:rFonts w:cs="Times New Roman" w:hint="default"/>
        <w:sz w:val="32"/>
      </w:rPr>
    </w:lvl>
    <w:lvl w:ilvl="1">
      <w:start w:val="1"/>
      <w:numFmt w:val="decimal"/>
      <w:lvlText w:val="%1.%2"/>
      <w:lvlJc w:val="left"/>
      <w:pPr>
        <w:tabs>
          <w:tab w:val="num" w:pos="720"/>
        </w:tabs>
        <w:ind w:left="720" w:hanging="720"/>
      </w:pPr>
      <w:rPr>
        <w:rFonts w:cs="Times New Roman" w:hint="default"/>
        <w:sz w:val="32"/>
      </w:rPr>
    </w:lvl>
    <w:lvl w:ilvl="2">
      <w:start w:val="1"/>
      <w:numFmt w:val="decimal"/>
      <w:lvlText w:val="%1.%2.%3"/>
      <w:lvlJc w:val="left"/>
      <w:pPr>
        <w:tabs>
          <w:tab w:val="num" w:pos="1080"/>
        </w:tabs>
        <w:ind w:left="1080" w:hanging="1080"/>
      </w:pPr>
      <w:rPr>
        <w:rFonts w:cs="Times New Roman" w:hint="default"/>
        <w:sz w:val="32"/>
      </w:rPr>
    </w:lvl>
    <w:lvl w:ilvl="3">
      <w:start w:val="1"/>
      <w:numFmt w:val="decimal"/>
      <w:lvlText w:val="%1.%2.%3.%4"/>
      <w:lvlJc w:val="left"/>
      <w:pPr>
        <w:tabs>
          <w:tab w:val="num" w:pos="1440"/>
        </w:tabs>
        <w:ind w:left="1440" w:hanging="1440"/>
      </w:pPr>
      <w:rPr>
        <w:rFonts w:cs="Times New Roman" w:hint="default"/>
        <w:sz w:val="32"/>
      </w:rPr>
    </w:lvl>
    <w:lvl w:ilvl="4">
      <w:start w:val="1"/>
      <w:numFmt w:val="decimal"/>
      <w:lvlText w:val="%1.%2.%3.%4.%5"/>
      <w:lvlJc w:val="left"/>
      <w:pPr>
        <w:tabs>
          <w:tab w:val="num" w:pos="1440"/>
        </w:tabs>
        <w:ind w:left="1440" w:hanging="1440"/>
      </w:pPr>
      <w:rPr>
        <w:rFonts w:cs="Times New Roman" w:hint="default"/>
        <w:sz w:val="32"/>
      </w:rPr>
    </w:lvl>
    <w:lvl w:ilvl="5">
      <w:start w:val="1"/>
      <w:numFmt w:val="decimal"/>
      <w:lvlText w:val="%1.%2.%3.%4.%5.%6"/>
      <w:lvlJc w:val="left"/>
      <w:pPr>
        <w:tabs>
          <w:tab w:val="num" w:pos="1800"/>
        </w:tabs>
        <w:ind w:left="1800" w:hanging="1800"/>
      </w:pPr>
      <w:rPr>
        <w:rFonts w:cs="Times New Roman" w:hint="default"/>
        <w:sz w:val="32"/>
      </w:rPr>
    </w:lvl>
    <w:lvl w:ilvl="6">
      <w:start w:val="1"/>
      <w:numFmt w:val="decimal"/>
      <w:lvlText w:val="%1.%2.%3.%4.%5.%6.%7"/>
      <w:lvlJc w:val="left"/>
      <w:pPr>
        <w:tabs>
          <w:tab w:val="num" w:pos="2160"/>
        </w:tabs>
        <w:ind w:left="2160" w:hanging="2160"/>
      </w:pPr>
      <w:rPr>
        <w:rFonts w:cs="Times New Roman" w:hint="default"/>
        <w:sz w:val="32"/>
      </w:rPr>
    </w:lvl>
    <w:lvl w:ilvl="7">
      <w:start w:val="1"/>
      <w:numFmt w:val="decimal"/>
      <w:lvlText w:val="%1.%2.%3.%4.%5.%6.%7.%8"/>
      <w:lvlJc w:val="left"/>
      <w:pPr>
        <w:tabs>
          <w:tab w:val="num" w:pos="2520"/>
        </w:tabs>
        <w:ind w:left="2520" w:hanging="2520"/>
      </w:pPr>
      <w:rPr>
        <w:rFonts w:cs="Times New Roman" w:hint="default"/>
        <w:sz w:val="32"/>
      </w:rPr>
    </w:lvl>
    <w:lvl w:ilvl="8">
      <w:start w:val="1"/>
      <w:numFmt w:val="decimal"/>
      <w:lvlText w:val="%1.%2.%3.%4.%5.%6.%7.%8.%9"/>
      <w:lvlJc w:val="left"/>
      <w:pPr>
        <w:tabs>
          <w:tab w:val="num" w:pos="2880"/>
        </w:tabs>
        <w:ind w:left="2880" w:hanging="2880"/>
      </w:pPr>
      <w:rPr>
        <w:rFonts w:cs="Times New Roman" w:hint="default"/>
        <w:sz w:val="32"/>
      </w:rPr>
    </w:lvl>
  </w:abstractNum>
  <w:abstractNum w:abstractNumId="27">
    <w:nsid w:val="7B221302"/>
    <w:multiLevelType w:val="hybridMultilevel"/>
    <w:tmpl w:val="9320D5B8"/>
    <w:lvl w:ilvl="0" w:tplc="A0AC766E">
      <w:start w:val="1"/>
      <w:numFmt w:val="bullet"/>
      <w:pStyle w:val="Listbullet1stlevel"/>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5"/>
  </w:num>
  <w:num w:numId="8">
    <w:abstractNumId w:val="3"/>
  </w:num>
  <w:num w:numId="9">
    <w:abstractNumId w:val="2"/>
  </w:num>
  <w:num w:numId="10">
    <w:abstractNumId w:val="4"/>
  </w:num>
  <w:num w:numId="11">
    <w:abstractNumId w:val="1"/>
  </w:num>
  <w:num w:numId="12">
    <w:abstractNumId w:val="0"/>
  </w:num>
  <w:num w:numId="13">
    <w:abstractNumId w:val="5"/>
  </w:num>
  <w:num w:numId="14">
    <w:abstractNumId w:val="3"/>
  </w:num>
  <w:num w:numId="15">
    <w:abstractNumId w:val="2"/>
  </w:num>
  <w:num w:numId="16">
    <w:abstractNumId w:val="4"/>
  </w:num>
  <w:num w:numId="17">
    <w:abstractNumId w:val="1"/>
  </w:num>
  <w:num w:numId="18">
    <w:abstractNumId w:val="0"/>
  </w:num>
  <w:num w:numId="19">
    <w:abstractNumId w:val="5"/>
  </w:num>
  <w:num w:numId="20">
    <w:abstractNumId w:val="11"/>
  </w:num>
  <w:num w:numId="21">
    <w:abstractNumId w:val="19"/>
  </w:num>
  <w:num w:numId="22">
    <w:abstractNumId w:val="9"/>
  </w:num>
  <w:num w:numId="23">
    <w:abstractNumId w:val="17"/>
  </w:num>
  <w:num w:numId="24">
    <w:abstractNumId w:val="27"/>
  </w:num>
  <w:num w:numId="25">
    <w:abstractNumId w:val="7"/>
  </w:num>
  <w:num w:numId="26">
    <w:abstractNumId w:val="24"/>
  </w:num>
  <w:num w:numId="27">
    <w:abstractNumId w:val="25"/>
  </w:num>
  <w:num w:numId="28">
    <w:abstractNumId w:val="22"/>
  </w:num>
  <w:num w:numId="29">
    <w:abstractNumId w:val="21"/>
  </w:num>
  <w:num w:numId="30">
    <w:abstractNumId w:val="12"/>
  </w:num>
  <w:num w:numId="31">
    <w:abstractNumId w:val="6"/>
  </w:num>
  <w:num w:numId="32">
    <w:abstractNumId w:val="7"/>
    <w:lvlOverride w:ilvl="0">
      <w:startOverride w:val="3"/>
    </w:lvlOverride>
    <w:lvlOverride w:ilvl="1">
      <w:startOverride w:val="1"/>
    </w:lvlOverride>
    <w:lvlOverride w:ilvl="2">
      <w:startOverride w:val="2"/>
    </w:lvlOverride>
  </w:num>
  <w:num w:numId="33">
    <w:abstractNumId w:val="7"/>
    <w:lvlOverride w:ilvl="0">
      <w:startOverride w:val="3"/>
    </w:lvlOverride>
  </w:num>
  <w:num w:numId="34">
    <w:abstractNumId w:val="7"/>
    <w:lvlOverride w:ilvl="0">
      <w:startOverride w:val="3"/>
    </w:lvlOverride>
    <w:lvlOverride w:ilvl="1">
      <w:startOverride w:val="1"/>
    </w:lvlOverride>
  </w:num>
  <w:num w:numId="35">
    <w:abstractNumId w:val="23"/>
  </w:num>
  <w:num w:numId="36">
    <w:abstractNumId w:val="8"/>
  </w:num>
  <w:num w:numId="37">
    <w:abstractNumId w:val="16"/>
  </w:num>
  <w:num w:numId="38">
    <w:abstractNumId w:val="14"/>
  </w:num>
  <w:num w:numId="39">
    <w:abstractNumId w:val="20"/>
  </w:num>
  <w:num w:numId="40">
    <w:abstractNumId w:val="18"/>
  </w:num>
  <w:num w:numId="41">
    <w:abstractNumId w:val="10"/>
  </w:num>
  <w:num w:numId="42">
    <w:abstractNumId w:val="26"/>
  </w:num>
  <w:num w:numId="43">
    <w:abstractNumId w:val="13"/>
  </w:num>
  <w:num w:numId="4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C:\DataIVM\Refmanager files Koetse\Dissertation.o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CONNECT&lt;/item&gt;&lt;item&gt;open space&lt;/item&gt;&lt;item&gt;D&lt;/item&gt;&lt;item&gt;Biodiversity&lt;/item&gt;&lt;item&gt;Meta forests&lt;/item&gt;&lt;item&gt;VIDI&lt;/item&gt;&lt;/Libraries&gt;&lt;/ENLibraries&gt;"/>
    <w:docVar w:name="ShowStaticGuides" w:val="1"/>
  </w:docVars>
  <w:rsids>
    <w:rsidRoot w:val="00466F91"/>
    <w:rsid w:val="00001A63"/>
    <w:rsid w:val="00003E77"/>
    <w:rsid w:val="000113D1"/>
    <w:rsid w:val="000128E4"/>
    <w:rsid w:val="000132F7"/>
    <w:rsid w:val="0001445C"/>
    <w:rsid w:val="00015031"/>
    <w:rsid w:val="00015240"/>
    <w:rsid w:val="00015E75"/>
    <w:rsid w:val="000170DF"/>
    <w:rsid w:val="000258F8"/>
    <w:rsid w:val="000261AB"/>
    <w:rsid w:val="000272AE"/>
    <w:rsid w:val="00027F93"/>
    <w:rsid w:val="00031EF8"/>
    <w:rsid w:val="000335F2"/>
    <w:rsid w:val="00037F57"/>
    <w:rsid w:val="00040DD9"/>
    <w:rsid w:val="00047595"/>
    <w:rsid w:val="00050275"/>
    <w:rsid w:val="0005062B"/>
    <w:rsid w:val="000525E0"/>
    <w:rsid w:val="000554D8"/>
    <w:rsid w:val="0005660B"/>
    <w:rsid w:val="000646AE"/>
    <w:rsid w:val="00064732"/>
    <w:rsid w:val="00064DE3"/>
    <w:rsid w:val="00067695"/>
    <w:rsid w:val="0007480D"/>
    <w:rsid w:val="00080140"/>
    <w:rsid w:val="000802C2"/>
    <w:rsid w:val="0008685D"/>
    <w:rsid w:val="00086926"/>
    <w:rsid w:val="000874F4"/>
    <w:rsid w:val="000879C9"/>
    <w:rsid w:val="0009221A"/>
    <w:rsid w:val="000935B2"/>
    <w:rsid w:val="00094562"/>
    <w:rsid w:val="00096C59"/>
    <w:rsid w:val="000A2213"/>
    <w:rsid w:val="000A4766"/>
    <w:rsid w:val="000A5369"/>
    <w:rsid w:val="000A788F"/>
    <w:rsid w:val="000B1B90"/>
    <w:rsid w:val="000B2EC4"/>
    <w:rsid w:val="000B4547"/>
    <w:rsid w:val="000B6259"/>
    <w:rsid w:val="000C0FCF"/>
    <w:rsid w:val="000C51DF"/>
    <w:rsid w:val="000D1CF0"/>
    <w:rsid w:val="000D7C80"/>
    <w:rsid w:val="000D7FAE"/>
    <w:rsid w:val="000E125C"/>
    <w:rsid w:val="000E3603"/>
    <w:rsid w:val="000E45D5"/>
    <w:rsid w:val="000E47FB"/>
    <w:rsid w:val="000F028A"/>
    <w:rsid w:val="000F0DC4"/>
    <w:rsid w:val="000F1AC0"/>
    <w:rsid w:val="000F2593"/>
    <w:rsid w:val="000F2A26"/>
    <w:rsid w:val="000F3EAB"/>
    <w:rsid w:val="000F5650"/>
    <w:rsid w:val="000F6A1C"/>
    <w:rsid w:val="000F6BFD"/>
    <w:rsid w:val="00100E12"/>
    <w:rsid w:val="00100EB1"/>
    <w:rsid w:val="00102DE6"/>
    <w:rsid w:val="00104339"/>
    <w:rsid w:val="00104FDF"/>
    <w:rsid w:val="0010747D"/>
    <w:rsid w:val="00111AE4"/>
    <w:rsid w:val="00112126"/>
    <w:rsid w:val="00114CEE"/>
    <w:rsid w:val="00120C0A"/>
    <w:rsid w:val="00121961"/>
    <w:rsid w:val="00122175"/>
    <w:rsid w:val="00123F22"/>
    <w:rsid w:val="00130171"/>
    <w:rsid w:val="00133E8D"/>
    <w:rsid w:val="00134724"/>
    <w:rsid w:val="00135C4A"/>
    <w:rsid w:val="0014256C"/>
    <w:rsid w:val="00147F19"/>
    <w:rsid w:val="0015043A"/>
    <w:rsid w:val="00153054"/>
    <w:rsid w:val="001544AA"/>
    <w:rsid w:val="00156FC9"/>
    <w:rsid w:val="00163FC0"/>
    <w:rsid w:val="00164491"/>
    <w:rsid w:val="00164A94"/>
    <w:rsid w:val="001651F9"/>
    <w:rsid w:val="0016520B"/>
    <w:rsid w:val="0016656A"/>
    <w:rsid w:val="00166918"/>
    <w:rsid w:val="00167142"/>
    <w:rsid w:val="0017021B"/>
    <w:rsid w:val="001704ED"/>
    <w:rsid w:val="00170A71"/>
    <w:rsid w:val="00172E89"/>
    <w:rsid w:val="00174400"/>
    <w:rsid w:val="00183100"/>
    <w:rsid w:val="001836A8"/>
    <w:rsid w:val="00184438"/>
    <w:rsid w:val="00186C2D"/>
    <w:rsid w:val="00191C3C"/>
    <w:rsid w:val="00193223"/>
    <w:rsid w:val="00195B51"/>
    <w:rsid w:val="00196075"/>
    <w:rsid w:val="001A1CD7"/>
    <w:rsid w:val="001A272B"/>
    <w:rsid w:val="001A295A"/>
    <w:rsid w:val="001A3AFE"/>
    <w:rsid w:val="001A59DA"/>
    <w:rsid w:val="001A60E3"/>
    <w:rsid w:val="001A73C7"/>
    <w:rsid w:val="001B1F6F"/>
    <w:rsid w:val="001B2B7A"/>
    <w:rsid w:val="001B3A72"/>
    <w:rsid w:val="001B53D6"/>
    <w:rsid w:val="001B6648"/>
    <w:rsid w:val="001C39DE"/>
    <w:rsid w:val="001C42D8"/>
    <w:rsid w:val="001C7280"/>
    <w:rsid w:val="001C7458"/>
    <w:rsid w:val="001D1D7E"/>
    <w:rsid w:val="001D2C24"/>
    <w:rsid w:val="001D2F73"/>
    <w:rsid w:val="001D53DF"/>
    <w:rsid w:val="001E1E6F"/>
    <w:rsid w:val="001E5495"/>
    <w:rsid w:val="001E6506"/>
    <w:rsid w:val="001E6986"/>
    <w:rsid w:val="001F00D9"/>
    <w:rsid w:val="001F1492"/>
    <w:rsid w:val="001F20A6"/>
    <w:rsid w:val="001F3222"/>
    <w:rsid w:val="001F71A4"/>
    <w:rsid w:val="001F740C"/>
    <w:rsid w:val="00201E11"/>
    <w:rsid w:val="00202EEE"/>
    <w:rsid w:val="00203491"/>
    <w:rsid w:val="002110C8"/>
    <w:rsid w:val="002115A4"/>
    <w:rsid w:val="00211E5C"/>
    <w:rsid w:val="002130BD"/>
    <w:rsid w:val="00214C9F"/>
    <w:rsid w:val="00215799"/>
    <w:rsid w:val="00215F6B"/>
    <w:rsid w:val="002204C7"/>
    <w:rsid w:val="002215EE"/>
    <w:rsid w:val="00221BC8"/>
    <w:rsid w:val="00226B77"/>
    <w:rsid w:val="00226E49"/>
    <w:rsid w:val="00230119"/>
    <w:rsid w:val="00232A1B"/>
    <w:rsid w:val="0023364B"/>
    <w:rsid w:val="00234D90"/>
    <w:rsid w:val="00234FF5"/>
    <w:rsid w:val="00235B22"/>
    <w:rsid w:val="00236FB9"/>
    <w:rsid w:val="00237363"/>
    <w:rsid w:val="002456BA"/>
    <w:rsid w:val="002469CB"/>
    <w:rsid w:val="00250B24"/>
    <w:rsid w:val="0025162E"/>
    <w:rsid w:val="00254218"/>
    <w:rsid w:val="00262387"/>
    <w:rsid w:val="002643AE"/>
    <w:rsid w:val="00270610"/>
    <w:rsid w:val="00273D58"/>
    <w:rsid w:val="002740E6"/>
    <w:rsid w:val="0027499F"/>
    <w:rsid w:val="00275D91"/>
    <w:rsid w:val="00276C80"/>
    <w:rsid w:val="00286F49"/>
    <w:rsid w:val="0028745B"/>
    <w:rsid w:val="002912C0"/>
    <w:rsid w:val="0029300B"/>
    <w:rsid w:val="002A183C"/>
    <w:rsid w:val="002A1C73"/>
    <w:rsid w:val="002A41D5"/>
    <w:rsid w:val="002A4989"/>
    <w:rsid w:val="002A5708"/>
    <w:rsid w:val="002A6600"/>
    <w:rsid w:val="002A7633"/>
    <w:rsid w:val="002A7A53"/>
    <w:rsid w:val="002A7D4C"/>
    <w:rsid w:val="002A7FF8"/>
    <w:rsid w:val="002B0EF2"/>
    <w:rsid w:val="002B11F4"/>
    <w:rsid w:val="002B2601"/>
    <w:rsid w:val="002B4FFB"/>
    <w:rsid w:val="002B631A"/>
    <w:rsid w:val="002B71F4"/>
    <w:rsid w:val="002C2850"/>
    <w:rsid w:val="002C689F"/>
    <w:rsid w:val="002C7590"/>
    <w:rsid w:val="002C7BFB"/>
    <w:rsid w:val="002C7E01"/>
    <w:rsid w:val="002D36D8"/>
    <w:rsid w:val="002D50F2"/>
    <w:rsid w:val="002D6C4B"/>
    <w:rsid w:val="002E4365"/>
    <w:rsid w:val="002E5220"/>
    <w:rsid w:val="002E5A6B"/>
    <w:rsid w:val="002E5F22"/>
    <w:rsid w:val="002E7DC9"/>
    <w:rsid w:val="002F20C9"/>
    <w:rsid w:val="002F3ACC"/>
    <w:rsid w:val="00300035"/>
    <w:rsid w:val="00303E1D"/>
    <w:rsid w:val="00304F49"/>
    <w:rsid w:val="00305C8C"/>
    <w:rsid w:val="00310C88"/>
    <w:rsid w:val="00313DB0"/>
    <w:rsid w:val="00314964"/>
    <w:rsid w:val="00314D0A"/>
    <w:rsid w:val="00316C9D"/>
    <w:rsid w:val="00317B7A"/>
    <w:rsid w:val="0032165B"/>
    <w:rsid w:val="00325D99"/>
    <w:rsid w:val="0033075D"/>
    <w:rsid w:val="00336611"/>
    <w:rsid w:val="00337FEA"/>
    <w:rsid w:val="00343635"/>
    <w:rsid w:val="003467D5"/>
    <w:rsid w:val="00360E99"/>
    <w:rsid w:val="0036258B"/>
    <w:rsid w:val="00363EE0"/>
    <w:rsid w:val="00364565"/>
    <w:rsid w:val="0037153F"/>
    <w:rsid w:val="0037272A"/>
    <w:rsid w:val="00372C10"/>
    <w:rsid w:val="00382981"/>
    <w:rsid w:val="003835CE"/>
    <w:rsid w:val="00383933"/>
    <w:rsid w:val="00384ACE"/>
    <w:rsid w:val="00386907"/>
    <w:rsid w:val="0038694D"/>
    <w:rsid w:val="003A0611"/>
    <w:rsid w:val="003A3090"/>
    <w:rsid w:val="003A36EC"/>
    <w:rsid w:val="003A4757"/>
    <w:rsid w:val="003B3EB1"/>
    <w:rsid w:val="003B7D61"/>
    <w:rsid w:val="003C049C"/>
    <w:rsid w:val="003C36F6"/>
    <w:rsid w:val="003C39F8"/>
    <w:rsid w:val="003C5171"/>
    <w:rsid w:val="003C5398"/>
    <w:rsid w:val="003C54BD"/>
    <w:rsid w:val="003C6002"/>
    <w:rsid w:val="003D09E0"/>
    <w:rsid w:val="003D3D60"/>
    <w:rsid w:val="003E126D"/>
    <w:rsid w:val="003E29ED"/>
    <w:rsid w:val="003F0156"/>
    <w:rsid w:val="003F14F8"/>
    <w:rsid w:val="003F2D8C"/>
    <w:rsid w:val="003F789A"/>
    <w:rsid w:val="004034AF"/>
    <w:rsid w:val="004059EE"/>
    <w:rsid w:val="00406ECF"/>
    <w:rsid w:val="00412C4D"/>
    <w:rsid w:val="004172F8"/>
    <w:rsid w:val="00422F2F"/>
    <w:rsid w:val="00427934"/>
    <w:rsid w:val="004321BD"/>
    <w:rsid w:val="004370DA"/>
    <w:rsid w:val="00441709"/>
    <w:rsid w:val="004537DC"/>
    <w:rsid w:val="00454834"/>
    <w:rsid w:val="0045614A"/>
    <w:rsid w:val="00457A78"/>
    <w:rsid w:val="00461F7B"/>
    <w:rsid w:val="00465E70"/>
    <w:rsid w:val="00466F91"/>
    <w:rsid w:val="004676B6"/>
    <w:rsid w:val="00473B47"/>
    <w:rsid w:val="00473CFF"/>
    <w:rsid w:val="00474914"/>
    <w:rsid w:val="0047505E"/>
    <w:rsid w:val="00481527"/>
    <w:rsid w:val="00481968"/>
    <w:rsid w:val="004831B3"/>
    <w:rsid w:val="00485809"/>
    <w:rsid w:val="004910FB"/>
    <w:rsid w:val="00495E39"/>
    <w:rsid w:val="0049656F"/>
    <w:rsid w:val="004A0B7F"/>
    <w:rsid w:val="004A1031"/>
    <w:rsid w:val="004A1BA0"/>
    <w:rsid w:val="004A3A6B"/>
    <w:rsid w:val="004A408C"/>
    <w:rsid w:val="004B458C"/>
    <w:rsid w:val="004B5A8A"/>
    <w:rsid w:val="004C12B2"/>
    <w:rsid w:val="004C507B"/>
    <w:rsid w:val="004D0E93"/>
    <w:rsid w:val="004D20FB"/>
    <w:rsid w:val="004D7685"/>
    <w:rsid w:val="004D7F79"/>
    <w:rsid w:val="004E1046"/>
    <w:rsid w:val="004E27DC"/>
    <w:rsid w:val="004E2DD3"/>
    <w:rsid w:val="004E75F6"/>
    <w:rsid w:val="004F2BA5"/>
    <w:rsid w:val="004F43C3"/>
    <w:rsid w:val="004F53A1"/>
    <w:rsid w:val="004F6615"/>
    <w:rsid w:val="004F7BFA"/>
    <w:rsid w:val="005021E7"/>
    <w:rsid w:val="005024E0"/>
    <w:rsid w:val="0050502C"/>
    <w:rsid w:val="0050578A"/>
    <w:rsid w:val="005072C5"/>
    <w:rsid w:val="00515951"/>
    <w:rsid w:val="005160EB"/>
    <w:rsid w:val="00517019"/>
    <w:rsid w:val="005170EA"/>
    <w:rsid w:val="00517655"/>
    <w:rsid w:val="00527D8B"/>
    <w:rsid w:val="00527F1F"/>
    <w:rsid w:val="005345AE"/>
    <w:rsid w:val="00536CF5"/>
    <w:rsid w:val="00541D73"/>
    <w:rsid w:val="00543232"/>
    <w:rsid w:val="00543784"/>
    <w:rsid w:val="005455BD"/>
    <w:rsid w:val="00545C1E"/>
    <w:rsid w:val="005512CF"/>
    <w:rsid w:val="00551EF9"/>
    <w:rsid w:val="0055209F"/>
    <w:rsid w:val="00552B5E"/>
    <w:rsid w:val="00557C6E"/>
    <w:rsid w:val="00560B67"/>
    <w:rsid w:val="0056440B"/>
    <w:rsid w:val="005702CE"/>
    <w:rsid w:val="00572A01"/>
    <w:rsid w:val="005757DE"/>
    <w:rsid w:val="005766A3"/>
    <w:rsid w:val="00577FE2"/>
    <w:rsid w:val="00582A84"/>
    <w:rsid w:val="00583C62"/>
    <w:rsid w:val="005848C3"/>
    <w:rsid w:val="00584CAA"/>
    <w:rsid w:val="00584DA3"/>
    <w:rsid w:val="0058513E"/>
    <w:rsid w:val="0058565A"/>
    <w:rsid w:val="00585ECE"/>
    <w:rsid w:val="005864DA"/>
    <w:rsid w:val="005866FD"/>
    <w:rsid w:val="005868E5"/>
    <w:rsid w:val="00590CB3"/>
    <w:rsid w:val="00593D6C"/>
    <w:rsid w:val="005A0D92"/>
    <w:rsid w:val="005A0F23"/>
    <w:rsid w:val="005A4B21"/>
    <w:rsid w:val="005A5F8F"/>
    <w:rsid w:val="005A62B5"/>
    <w:rsid w:val="005B10A4"/>
    <w:rsid w:val="005B11EA"/>
    <w:rsid w:val="005B2121"/>
    <w:rsid w:val="005B4578"/>
    <w:rsid w:val="005B6203"/>
    <w:rsid w:val="005B6630"/>
    <w:rsid w:val="005B7EE9"/>
    <w:rsid w:val="005C4DED"/>
    <w:rsid w:val="005C57C1"/>
    <w:rsid w:val="005C7393"/>
    <w:rsid w:val="005D128D"/>
    <w:rsid w:val="005E0303"/>
    <w:rsid w:val="005E1B1E"/>
    <w:rsid w:val="005E45E8"/>
    <w:rsid w:val="005E49FC"/>
    <w:rsid w:val="005F747D"/>
    <w:rsid w:val="00600919"/>
    <w:rsid w:val="006065C6"/>
    <w:rsid w:val="0060700F"/>
    <w:rsid w:val="006079B7"/>
    <w:rsid w:val="006105AE"/>
    <w:rsid w:val="006106E3"/>
    <w:rsid w:val="006124A3"/>
    <w:rsid w:val="006139D2"/>
    <w:rsid w:val="00614766"/>
    <w:rsid w:val="0061763E"/>
    <w:rsid w:val="00620F20"/>
    <w:rsid w:val="00623376"/>
    <w:rsid w:val="0062432A"/>
    <w:rsid w:val="006256CF"/>
    <w:rsid w:val="0063025E"/>
    <w:rsid w:val="00634E20"/>
    <w:rsid w:val="006352F6"/>
    <w:rsid w:val="006353F0"/>
    <w:rsid w:val="00637BF3"/>
    <w:rsid w:val="00643055"/>
    <w:rsid w:val="00643DD4"/>
    <w:rsid w:val="00644D36"/>
    <w:rsid w:val="00645C28"/>
    <w:rsid w:val="00657760"/>
    <w:rsid w:val="00663398"/>
    <w:rsid w:val="00670B57"/>
    <w:rsid w:val="006713C8"/>
    <w:rsid w:val="00675935"/>
    <w:rsid w:val="006763A7"/>
    <w:rsid w:val="006853C5"/>
    <w:rsid w:val="00686963"/>
    <w:rsid w:val="00692638"/>
    <w:rsid w:val="00693BAB"/>
    <w:rsid w:val="0069782B"/>
    <w:rsid w:val="006A03E4"/>
    <w:rsid w:val="006A1FC5"/>
    <w:rsid w:val="006A5FD6"/>
    <w:rsid w:val="006A79EF"/>
    <w:rsid w:val="006B2678"/>
    <w:rsid w:val="006B3626"/>
    <w:rsid w:val="006B65E3"/>
    <w:rsid w:val="006C31DD"/>
    <w:rsid w:val="006C5B69"/>
    <w:rsid w:val="006D3F88"/>
    <w:rsid w:val="006D566F"/>
    <w:rsid w:val="006E04A5"/>
    <w:rsid w:val="006E359F"/>
    <w:rsid w:val="006E4205"/>
    <w:rsid w:val="006E4A0D"/>
    <w:rsid w:val="006E5C4E"/>
    <w:rsid w:val="006F5801"/>
    <w:rsid w:val="006F7484"/>
    <w:rsid w:val="00700F28"/>
    <w:rsid w:val="007026DB"/>
    <w:rsid w:val="00705A14"/>
    <w:rsid w:val="007062A7"/>
    <w:rsid w:val="00711E57"/>
    <w:rsid w:val="00720FAE"/>
    <w:rsid w:val="007246C8"/>
    <w:rsid w:val="00724C9A"/>
    <w:rsid w:val="00725266"/>
    <w:rsid w:val="00725BAC"/>
    <w:rsid w:val="00725F14"/>
    <w:rsid w:val="00727E76"/>
    <w:rsid w:val="007313D4"/>
    <w:rsid w:val="00731D5B"/>
    <w:rsid w:val="00734230"/>
    <w:rsid w:val="00740BCF"/>
    <w:rsid w:val="00743A38"/>
    <w:rsid w:val="00743E4E"/>
    <w:rsid w:val="007440CF"/>
    <w:rsid w:val="0074500B"/>
    <w:rsid w:val="0074595A"/>
    <w:rsid w:val="00745AA8"/>
    <w:rsid w:val="00750B29"/>
    <w:rsid w:val="00751DC8"/>
    <w:rsid w:val="00756028"/>
    <w:rsid w:val="00756375"/>
    <w:rsid w:val="00761E8C"/>
    <w:rsid w:val="00764F7E"/>
    <w:rsid w:val="0076660F"/>
    <w:rsid w:val="0076731A"/>
    <w:rsid w:val="00770821"/>
    <w:rsid w:val="0077710D"/>
    <w:rsid w:val="007822DC"/>
    <w:rsid w:val="0078284B"/>
    <w:rsid w:val="0078455E"/>
    <w:rsid w:val="0078546E"/>
    <w:rsid w:val="00787130"/>
    <w:rsid w:val="00787D13"/>
    <w:rsid w:val="00791475"/>
    <w:rsid w:val="00793827"/>
    <w:rsid w:val="007A0325"/>
    <w:rsid w:val="007A4E5A"/>
    <w:rsid w:val="007A58AE"/>
    <w:rsid w:val="007A7338"/>
    <w:rsid w:val="007B3259"/>
    <w:rsid w:val="007B3C66"/>
    <w:rsid w:val="007B45B0"/>
    <w:rsid w:val="007C2F7D"/>
    <w:rsid w:val="007C4641"/>
    <w:rsid w:val="007C66C4"/>
    <w:rsid w:val="007D13E6"/>
    <w:rsid w:val="007D2E94"/>
    <w:rsid w:val="007D3FC0"/>
    <w:rsid w:val="007D4362"/>
    <w:rsid w:val="007D6C30"/>
    <w:rsid w:val="007D6DF7"/>
    <w:rsid w:val="007E2582"/>
    <w:rsid w:val="007E5C2C"/>
    <w:rsid w:val="007E5C4F"/>
    <w:rsid w:val="007E7098"/>
    <w:rsid w:val="007F0670"/>
    <w:rsid w:val="007F2212"/>
    <w:rsid w:val="007F4BAD"/>
    <w:rsid w:val="00800E1A"/>
    <w:rsid w:val="0080572A"/>
    <w:rsid w:val="0080642E"/>
    <w:rsid w:val="0081108C"/>
    <w:rsid w:val="008116A2"/>
    <w:rsid w:val="008125BB"/>
    <w:rsid w:val="00813F40"/>
    <w:rsid w:val="00814ECA"/>
    <w:rsid w:val="00816C66"/>
    <w:rsid w:val="0081702D"/>
    <w:rsid w:val="008204E5"/>
    <w:rsid w:val="0082181E"/>
    <w:rsid w:val="008261CC"/>
    <w:rsid w:val="00830C3B"/>
    <w:rsid w:val="00831704"/>
    <w:rsid w:val="00833904"/>
    <w:rsid w:val="008355F6"/>
    <w:rsid w:val="008367D4"/>
    <w:rsid w:val="008376E8"/>
    <w:rsid w:val="00840B8C"/>
    <w:rsid w:val="008411DE"/>
    <w:rsid w:val="00842B37"/>
    <w:rsid w:val="00843269"/>
    <w:rsid w:val="00843915"/>
    <w:rsid w:val="00846B45"/>
    <w:rsid w:val="00847828"/>
    <w:rsid w:val="008506B2"/>
    <w:rsid w:val="00855665"/>
    <w:rsid w:val="008568B3"/>
    <w:rsid w:val="00857048"/>
    <w:rsid w:val="00857826"/>
    <w:rsid w:val="00857D81"/>
    <w:rsid w:val="00860405"/>
    <w:rsid w:val="00865C81"/>
    <w:rsid w:val="00866993"/>
    <w:rsid w:val="00866EE0"/>
    <w:rsid w:val="008674CE"/>
    <w:rsid w:val="008765A5"/>
    <w:rsid w:val="00881998"/>
    <w:rsid w:val="00881D8B"/>
    <w:rsid w:val="008839D4"/>
    <w:rsid w:val="00883D8B"/>
    <w:rsid w:val="00884C6F"/>
    <w:rsid w:val="0088786C"/>
    <w:rsid w:val="00890C3F"/>
    <w:rsid w:val="00891B02"/>
    <w:rsid w:val="00894072"/>
    <w:rsid w:val="00894439"/>
    <w:rsid w:val="00897304"/>
    <w:rsid w:val="0089762C"/>
    <w:rsid w:val="008A0C8C"/>
    <w:rsid w:val="008A0F59"/>
    <w:rsid w:val="008A6F53"/>
    <w:rsid w:val="008A7E06"/>
    <w:rsid w:val="008B058A"/>
    <w:rsid w:val="008B0FD5"/>
    <w:rsid w:val="008B2370"/>
    <w:rsid w:val="008B3EBD"/>
    <w:rsid w:val="008C0324"/>
    <w:rsid w:val="008C28CE"/>
    <w:rsid w:val="008C29A2"/>
    <w:rsid w:val="008C3343"/>
    <w:rsid w:val="008C3C28"/>
    <w:rsid w:val="008C4819"/>
    <w:rsid w:val="008D1372"/>
    <w:rsid w:val="008D4856"/>
    <w:rsid w:val="008D5703"/>
    <w:rsid w:val="008D668E"/>
    <w:rsid w:val="008E09A9"/>
    <w:rsid w:val="008E1F0B"/>
    <w:rsid w:val="008E2F9D"/>
    <w:rsid w:val="008E5441"/>
    <w:rsid w:val="008E6AF7"/>
    <w:rsid w:val="008F48D8"/>
    <w:rsid w:val="008F51FD"/>
    <w:rsid w:val="008F6CD0"/>
    <w:rsid w:val="008F6E10"/>
    <w:rsid w:val="00901CAB"/>
    <w:rsid w:val="00902E92"/>
    <w:rsid w:val="0090506B"/>
    <w:rsid w:val="00907080"/>
    <w:rsid w:val="0091199F"/>
    <w:rsid w:val="009128B7"/>
    <w:rsid w:val="0091388A"/>
    <w:rsid w:val="0091699A"/>
    <w:rsid w:val="00921775"/>
    <w:rsid w:val="00921A63"/>
    <w:rsid w:val="0092374E"/>
    <w:rsid w:val="00925180"/>
    <w:rsid w:val="00926C76"/>
    <w:rsid w:val="009304BD"/>
    <w:rsid w:val="00931193"/>
    <w:rsid w:val="0093185C"/>
    <w:rsid w:val="00934054"/>
    <w:rsid w:val="009428C7"/>
    <w:rsid w:val="00943DAD"/>
    <w:rsid w:val="00951536"/>
    <w:rsid w:val="00951756"/>
    <w:rsid w:val="00951BFC"/>
    <w:rsid w:val="00963613"/>
    <w:rsid w:val="00966366"/>
    <w:rsid w:val="0096654F"/>
    <w:rsid w:val="0096704F"/>
    <w:rsid w:val="00971863"/>
    <w:rsid w:val="00972CB6"/>
    <w:rsid w:val="0097331F"/>
    <w:rsid w:val="009756DB"/>
    <w:rsid w:val="00976DE8"/>
    <w:rsid w:val="0097786F"/>
    <w:rsid w:val="0098268B"/>
    <w:rsid w:val="00986656"/>
    <w:rsid w:val="00987177"/>
    <w:rsid w:val="00987983"/>
    <w:rsid w:val="0099196C"/>
    <w:rsid w:val="00994F11"/>
    <w:rsid w:val="00996078"/>
    <w:rsid w:val="00997062"/>
    <w:rsid w:val="009A0C6A"/>
    <w:rsid w:val="009A3CA4"/>
    <w:rsid w:val="009A5197"/>
    <w:rsid w:val="009A60A7"/>
    <w:rsid w:val="009A67B5"/>
    <w:rsid w:val="009A7DD1"/>
    <w:rsid w:val="009B1E44"/>
    <w:rsid w:val="009B5B06"/>
    <w:rsid w:val="009B682A"/>
    <w:rsid w:val="009C2500"/>
    <w:rsid w:val="009C500E"/>
    <w:rsid w:val="009C64F3"/>
    <w:rsid w:val="009D0318"/>
    <w:rsid w:val="009D17BE"/>
    <w:rsid w:val="009D2E08"/>
    <w:rsid w:val="009D6A77"/>
    <w:rsid w:val="009E5B0A"/>
    <w:rsid w:val="009E679C"/>
    <w:rsid w:val="009E6D9F"/>
    <w:rsid w:val="009F05AE"/>
    <w:rsid w:val="009F3E5F"/>
    <w:rsid w:val="00A117A0"/>
    <w:rsid w:val="00A127E2"/>
    <w:rsid w:val="00A149BF"/>
    <w:rsid w:val="00A21262"/>
    <w:rsid w:val="00A21384"/>
    <w:rsid w:val="00A22DCC"/>
    <w:rsid w:val="00A252AF"/>
    <w:rsid w:val="00A27D61"/>
    <w:rsid w:val="00A304E3"/>
    <w:rsid w:val="00A3070D"/>
    <w:rsid w:val="00A30EF6"/>
    <w:rsid w:val="00A32C78"/>
    <w:rsid w:val="00A3370D"/>
    <w:rsid w:val="00A366E8"/>
    <w:rsid w:val="00A36978"/>
    <w:rsid w:val="00A377FC"/>
    <w:rsid w:val="00A428DC"/>
    <w:rsid w:val="00A4781A"/>
    <w:rsid w:val="00A50C4D"/>
    <w:rsid w:val="00A52A47"/>
    <w:rsid w:val="00A56A4A"/>
    <w:rsid w:val="00A60E5A"/>
    <w:rsid w:val="00A6185E"/>
    <w:rsid w:val="00A66796"/>
    <w:rsid w:val="00A67885"/>
    <w:rsid w:val="00A741E3"/>
    <w:rsid w:val="00A75D5D"/>
    <w:rsid w:val="00A77CAD"/>
    <w:rsid w:val="00A81FC1"/>
    <w:rsid w:val="00A82A70"/>
    <w:rsid w:val="00A82C6B"/>
    <w:rsid w:val="00A84ED6"/>
    <w:rsid w:val="00A85002"/>
    <w:rsid w:val="00A9173F"/>
    <w:rsid w:val="00A931A1"/>
    <w:rsid w:val="00AA4772"/>
    <w:rsid w:val="00AA5198"/>
    <w:rsid w:val="00AB264C"/>
    <w:rsid w:val="00AB468C"/>
    <w:rsid w:val="00AC066F"/>
    <w:rsid w:val="00AC29F4"/>
    <w:rsid w:val="00AC3E44"/>
    <w:rsid w:val="00AC6E38"/>
    <w:rsid w:val="00AC6E3A"/>
    <w:rsid w:val="00AC74E7"/>
    <w:rsid w:val="00AD0F4B"/>
    <w:rsid w:val="00AD3E01"/>
    <w:rsid w:val="00AE1237"/>
    <w:rsid w:val="00AE1A0F"/>
    <w:rsid w:val="00AE35C4"/>
    <w:rsid w:val="00AE3FA1"/>
    <w:rsid w:val="00AF2124"/>
    <w:rsid w:val="00AF49AD"/>
    <w:rsid w:val="00B06382"/>
    <w:rsid w:val="00B0731A"/>
    <w:rsid w:val="00B12414"/>
    <w:rsid w:val="00B13B70"/>
    <w:rsid w:val="00B161E0"/>
    <w:rsid w:val="00B201C2"/>
    <w:rsid w:val="00B2243E"/>
    <w:rsid w:val="00B232B6"/>
    <w:rsid w:val="00B24DFF"/>
    <w:rsid w:val="00B2554B"/>
    <w:rsid w:val="00B2761A"/>
    <w:rsid w:val="00B30CCD"/>
    <w:rsid w:val="00B31BDF"/>
    <w:rsid w:val="00B31DAC"/>
    <w:rsid w:val="00B3364F"/>
    <w:rsid w:val="00B33801"/>
    <w:rsid w:val="00B33C87"/>
    <w:rsid w:val="00B420D1"/>
    <w:rsid w:val="00B45573"/>
    <w:rsid w:val="00B45AEC"/>
    <w:rsid w:val="00B5071D"/>
    <w:rsid w:val="00B51068"/>
    <w:rsid w:val="00B52AEC"/>
    <w:rsid w:val="00B6650C"/>
    <w:rsid w:val="00B668E4"/>
    <w:rsid w:val="00B70AEE"/>
    <w:rsid w:val="00B72E79"/>
    <w:rsid w:val="00B7389A"/>
    <w:rsid w:val="00B75DA4"/>
    <w:rsid w:val="00B75DC7"/>
    <w:rsid w:val="00B7672D"/>
    <w:rsid w:val="00B77579"/>
    <w:rsid w:val="00B80267"/>
    <w:rsid w:val="00B81246"/>
    <w:rsid w:val="00B821C5"/>
    <w:rsid w:val="00B83545"/>
    <w:rsid w:val="00B83EF5"/>
    <w:rsid w:val="00B84D29"/>
    <w:rsid w:val="00B84E20"/>
    <w:rsid w:val="00B86FA3"/>
    <w:rsid w:val="00B9510E"/>
    <w:rsid w:val="00B96536"/>
    <w:rsid w:val="00BA20EB"/>
    <w:rsid w:val="00BA3AE4"/>
    <w:rsid w:val="00BA4544"/>
    <w:rsid w:val="00BA5779"/>
    <w:rsid w:val="00BC5649"/>
    <w:rsid w:val="00BC667D"/>
    <w:rsid w:val="00BC693E"/>
    <w:rsid w:val="00BC6BD9"/>
    <w:rsid w:val="00BD2599"/>
    <w:rsid w:val="00BD3134"/>
    <w:rsid w:val="00BD3667"/>
    <w:rsid w:val="00BD39E4"/>
    <w:rsid w:val="00BD3EEB"/>
    <w:rsid w:val="00BD5483"/>
    <w:rsid w:val="00BD55AC"/>
    <w:rsid w:val="00BE1870"/>
    <w:rsid w:val="00BE6F09"/>
    <w:rsid w:val="00BE7ED5"/>
    <w:rsid w:val="00BF3F5C"/>
    <w:rsid w:val="00BF7381"/>
    <w:rsid w:val="00C028B6"/>
    <w:rsid w:val="00C03AF9"/>
    <w:rsid w:val="00C066AC"/>
    <w:rsid w:val="00C10538"/>
    <w:rsid w:val="00C120A6"/>
    <w:rsid w:val="00C140BE"/>
    <w:rsid w:val="00C1706C"/>
    <w:rsid w:val="00C2193C"/>
    <w:rsid w:val="00C221AF"/>
    <w:rsid w:val="00C23C6E"/>
    <w:rsid w:val="00C26FF4"/>
    <w:rsid w:val="00C37C5B"/>
    <w:rsid w:val="00C4298B"/>
    <w:rsid w:val="00C430D2"/>
    <w:rsid w:val="00C446C5"/>
    <w:rsid w:val="00C45348"/>
    <w:rsid w:val="00C53682"/>
    <w:rsid w:val="00C53D92"/>
    <w:rsid w:val="00C55691"/>
    <w:rsid w:val="00C6276F"/>
    <w:rsid w:val="00C637E3"/>
    <w:rsid w:val="00C703F3"/>
    <w:rsid w:val="00C7047E"/>
    <w:rsid w:val="00C70676"/>
    <w:rsid w:val="00C85B61"/>
    <w:rsid w:val="00C86182"/>
    <w:rsid w:val="00C930FC"/>
    <w:rsid w:val="00C93D2F"/>
    <w:rsid w:val="00C960BE"/>
    <w:rsid w:val="00CA0E26"/>
    <w:rsid w:val="00CA412C"/>
    <w:rsid w:val="00CA6638"/>
    <w:rsid w:val="00CA7ADB"/>
    <w:rsid w:val="00CB0E44"/>
    <w:rsid w:val="00CB4D76"/>
    <w:rsid w:val="00CC65B9"/>
    <w:rsid w:val="00CD1A28"/>
    <w:rsid w:val="00CD649E"/>
    <w:rsid w:val="00CD7AE2"/>
    <w:rsid w:val="00CE0442"/>
    <w:rsid w:val="00CE5DA3"/>
    <w:rsid w:val="00CF71D7"/>
    <w:rsid w:val="00D01087"/>
    <w:rsid w:val="00D01E85"/>
    <w:rsid w:val="00D02EFD"/>
    <w:rsid w:val="00D07FDE"/>
    <w:rsid w:val="00D12303"/>
    <w:rsid w:val="00D14A7F"/>
    <w:rsid w:val="00D14B4E"/>
    <w:rsid w:val="00D179B4"/>
    <w:rsid w:val="00D2210E"/>
    <w:rsid w:val="00D24489"/>
    <w:rsid w:val="00D2521F"/>
    <w:rsid w:val="00D25600"/>
    <w:rsid w:val="00D30A95"/>
    <w:rsid w:val="00D35CF8"/>
    <w:rsid w:val="00D36B1F"/>
    <w:rsid w:val="00D36D17"/>
    <w:rsid w:val="00D52E1C"/>
    <w:rsid w:val="00D53900"/>
    <w:rsid w:val="00D5628A"/>
    <w:rsid w:val="00D573C0"/>
    <w:rsid w:val="00D573CF"/>
    <w:rsid w:val="00D76CFE"/>
    <w:rsid w:val="00D807D5"/>
    <w:rsid w:val="00D82761"/>
    <w:rsid w:val="00D82BA8"/>
    <w:rsid w:val="00D8561B"/>
    <w:rsid w:val="00D86506"/>
    <w:rsid w:val="00D86EB3"/>
    <w:rsid w:val="00D91DE6"/>
    <w:rsid w:val="00D9349C"/>
    <w:rsid w:val="00D95C5C"/>
    <w:rsid w:val="00DA0090"/>
    <w:rsid w:val="00DA1A6A"/>
    <w:rsid w:val="00DA2CA4"/>
    <w:rsid w:val="00DB0A45"/>
    <w:rsid w:val="00DB0ECE"/>
    <w:rsid w:val="00DB0F68"/>
    <w:rsid w:val="00DB1454"/>
    <w:rsid w:val="00DB1BFB"/>
    <w:rsid w:val="00DB4D2E"/>
    <w:rsid w:val="00DB508A"/>
    <w:rsid w:val="00DB5F56"/>
    <w:rsid w:val="00DB7F19"/>
    <w:rsid w:val="00DC18BF"/>
    <w:rsid w:val="00DD0E97"/>
    <w:rsid w:val="00DD47A0"/>
    <w:rsid w:val="00DD4B32"/>
    <w:rsid w:val="00DD4BD2"/>
    <w:rsid w:val="00DE0DB5"/>
    <w:rsid w:val="00DE721C"/>
    <w:rsid w:val="00DE76B2"/>
    <w:rsid w:val="00DF15D7"/>
    <w:rsid w:val="00DF2865"/>
    <w:rsid w:val="00DF57EB"/>
    <w:rsid w:val="00DF751F"/>
    <w:rsid w:val="00DF7935"/>
    <w:rsid w:val="00E00BAC"/>
    <w:rsid w:val="00E00E91"/>
    <w:rsid w:val="00E0245D"/>
    <w:rsid w:val="00E0372E"/>
    <w:rsid w:val="00E06781"/>
    <w:rsid w:val="00E12AFE"/>
    <w:rsid w:val="00E1438B"/>
    <w:rsid w:val="00E14437"/>
    <w:rsid w:val="00E14D2C"/>
    <w:rsid w:val="00E14D6C"/>
    <w:rsid w:val="00E14FF7"/>
    <w:rsid w:val="00E227CF"/>
    <w:rsid w:val="00E23947"/>
    <w:rsid w:val="00E255AD"/>
    <w:rsid w:val="00E35189"/>
    <w:rsid w:val="00E362D3"/>
    <w:rsid w:val="00E366E1"/>
    <w:rsid w:val="00E40643"/>
    <w:rsid w:val="00E410B5"/>
    <w:rsid w:val="00E415BF"/>
    <w:rsid w:val="00E4348F"/>
    <w:rsid w:val="00E51BC6"/>
    <w:rsid w:val="00E53FEE"/>
    <w:rsid w:val="00E54D47"/>
    <w:rsid w:val="00E55058"/>
    <w:rsid w:val="00E60BFE"/>
    <w:rsid w:val="00E613E5"/>
    <w:rsid w:val="00E61FFB"/>
    <w:rsid w:val="00E6292B"/>
    <w:rsid w:val="00E644DE"/>
    <w:rsid w:val="00E66245"/>
    <w:rsid w:val="00E7279B"/>
    <w:rsid w:val="00E73086"/>
    <w:rsid w:val="00E753B8"/>
    <w:rsid w:val="00E77A0B"/>
    <w:rsid w:val="00E81B93"/>
    <w:rsid w:val="00E821C3"/>
    <w:rsid w:val="00E82A17"/>
    <w:rsid w:val="00E83DEB"/>
    <w:rsid w:val="00E9319A"/>
    <w:rsid w:val="00E93373"/>
    <w:rsid w:val="00EA1CF8"/>
    <w:rsid w:val="00EA45F3"/>
    <w:rsid w:val="00EA6E75"/>
    <w:rsid w:val="00EB6051"/>
    <w:rsid w:val="00EC2B41"/>
    <w:rsid w:val="00EC5A8B"/>
    <w:rsid w:val="00EC6810"/>
    <w:rsid w:val="00EC7BC8"/>
    <w:rsid w:val="00EC7D98"/>
    <w:rsid w:val="00ED019C"/>
    <w:rsid w:val="00ED224F"/>
    <w:rsid w:val="00ED3AA8"/>
    <w:rsid w:val="00ED697A"/>
    <w:rsid w:val="00ED7859"/>
    <w:rsid w:val="00ED7B08"/>
    <w:rsid w:val="00EE0ACF"/>
    <w:rsid w:val="00EE61E1"/>
    <w:rsid w:val="00EE70FA"/>
    <w:rsid w:val="00EE7820"/>
    <w:rsid w:val="00EF08DC"/>
    <w:rsid w:val="00EF0F8D"/>
    <w:rsid w:val="00EF2C63"/>
    <w:rsid w:val="00EF4621"/>
    <w:rsid w:val="00EF536E"/>
    <w:rsid w:val="00EF55CD"/>
    <w:rsid w:val="00EF737A"/>
    <w:rsid w:val="00F00BE7"/>
    <w:rsid w:val="00F058FD"/>
    <w:rsid w:val="00F06D04"/>
    <w:rsid w:val="00F123F8"/>
    <w:rsid w:val="00F12B33"/>
    <w:rsid w:val="00F15A6E"/>
    <w:rsid w:val="00F2256A"/>
    <w:rsid w:val="00F22871"/>
    <w:rsid w:val="00F26ABB"/>
    <w:rsid w:val="00F26E58"/>
    <w:rsid w:val="00F30BFC"/>
    <w:rsid w:val="00F3115E"/>
    <w:rsid w:val="00F32078"/>
    <w:rsid w:val="00F3400F"/>
    <w:rsid w:val="00F353CD"/>
    <w:rsid w:val="00F41495"/>
    <w:rsid w:val="00F420FC"/>
    <w:rsid w:val="00F4289D"/>
    <w:rsid w:val="00F43ABF"/>
    <w:rsid w:val="00F54785"/>
    <w:rsid w:val="00F57B24"/>
    <w:rsid w:val="00F63F69"/>
    <w:rsid w:val="00F665ED"/>
    <w:rsid w:val="00F70A40"/>
    <w:rsid w:val="00F71C7F"/>
    <w:rsid w:val="00F80423"/>
    <w:rsid w:val="00F82BA8"/>
    <w:rsid w:val="00F82CBA"/>
    <w:rsid w:val="00F82DD5"/>
    <w:rsid w:val="00F834AD"/>
    <w:rsid w:val="00F8489E"/>
    <w:rsid w:val="00F856D2"/>
    <w:rsid w:val="00F87591"/>
    <w:rsid w:val="00F87E07"/>
    <w:rsid w:val="00F91D78"/>
    <w:rsid w:val="00F95FAF"/>
    <w:rsid w:val="00FA2CE3"/>
    <w:rsid w:val="00FA78D6"/>
    <w:rsid w:val="00FB0A2C"/>
    <w:rsid w:val="00FB13AE"/>
    <w:rsid w:val="00FB24F7"/>
    <w:rsid w:val="00FB47ED"/>
    <w:rsid w:val="00FB497D"/>
    <w:rsid w:val="00FC6853"/>
    <w:rsid w:val="00FE0325"/>
    <w:rsid w:val="00FE055B"/>
    <w:rsid w:val="00FE07B3"/>
    <w:rsid w:val="00FE0F20"/>
    <w:rsid w:val="00FE1E53"/>
    <w:rsid w:val="00FE6550"/>
    <w:rsid w:val="00FE6D63"/>
    <w:rsid w:val="00FE6EC3"/>
    <w:rsid w:val="00FF04AD"/>
    <w:rsid w:val="00FF1888"/>
    <w:rsid w:val="00FF4767"/>
    <w:rsid w:val="00FF6C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23376"/>
    <w:pPr>
      <w:suppressAutoHyphens/>
      <w:spacing w:after="40" w:line="300" w:lineRule="auto"/>
      <w:jc w:val="both"/>
    </w:pPr>
    <w:rPr>
      <w:rFonts w:ascii="Arial" w:hAnsi="Arial"/>
      <w:color w:val="333333"/>
      <w:sz w:val="22"/>
      <w:lang w:val="en-GB" w:eastAsia="en-GB"/>
    </w:rPr>
  </w:style>
  <w:style w:type="paragraph" w:styleId="Heading1">
    <w:name w:val="heading 1"/>
    <w:aliases w:val="Heading 1 Aquamoney,Hoofdstuktitel"/>
    <w:basedOn w:val="Normal"/>
    <w:next w:val="Normal"/>
    <w:link w:val="Heading1Char"/>
    <w:autoRedefine/>
    <w:uiPriority w:val="99"/>
    <w:qFormat/>
    <w:rsid w:val="00BD5483"/>
    <w:pPr>
      <w:keepNext/>
      <w:pageBreakBefore/>
      <w:numPr>
        <w:numId w:val="25"/>
      </w:numPr>
      <w:tabs>
        <w:tab w:val="left" w:pos="851"/>
      </w:tabs>
      <w:spacing w:before="120" w:after="240" w:line="240" w:lineRule="auto"/>
      <w:ind w:left="851" w:hanging="851"/>
      <w:jc w:val="left"/>
      <w:outlineLvl w:val="0"/>
    </w:pPr>
    <w:rPr>
      <w:rFonts w:ascii="Arial Bold" w:hAnsi="Arial Bold"/>
      <w:b/>
      <w:color w:val="008080"/>
      <w:sz w:val="40"/>
      <w:szCs w:val="40"/>
    </w:rPr>
  </w:style>
  <w:style w:type="paragraph" w:styleId="Heading2">
    <w:name w:val="heading 2"/>
    <w:aliases w:val="Heading 2 Aquamoney,Paragraafkop"/>
    <w:basedOn w:val="Normal"/>
    <w:next w:val="Normal"/>
    <w:link w:val="Heading2Char"/>
    <w:uiPriority w:val="99"/>
    <w:qFormat/>
    <w:rsid w:val="001F1492"/>
    <w:pPr>
      <w:keepNext/>
      <w:numPr>
        <w:ilvl w:val="1"/>
        <w:numId w:val="25"/>
      </w:numPr>
      <w:spacing w:after="60"/>
      <w:ind w:left="851" w:hanging="851"/>
      <w:jc w:val="left"/>
      <w:outlineLvl w:val="1"/>
    </w:pPr>
    <w:rPr>
      <w:b/>
      <w:color w:val="9C9C9C"/>
      <w:sz w:val="36"/>
    </w:rPr>
  </w:style>
  <w:style w:type="paragraph" w:styleId="Heading3">
    <w:name w:val="heading 3"/>
    <w:aliases w:val="Heading 3 Aquamoney,Subparagraafkop,Kap. 1.1.1."/>
    <w:basedOn w:val="Normal"/>
    <w:next w:val="Normal"/>
    <w:link w:val="Heading3Char"/>
    <w:uiPriority w:val="99"/>
    <w:qFormat/>
    <w:rsid w:val="001B6648"/>
    <w:pPr>
      <w:keepNext/>
      <w:numPr>
        <w:ilvl w:val="2"/>
        <w:numId w:val="25"/>
      </w:numPr>
      <w:spacing w:after="60"/>
      <w:ind w:left="851" w:hanging="851"/>
      <w:jc w:val="left"/>
      <w:outlineLvl w:val="2"/>
    </w:pPr>
    <w:rPr>
      <w:color w:val="547844"/>
      <w:sz w:val="32"/>
    </w:rPr>
  </w:style>
  <w:style w:type="paragraph" w:styleId="Heading4">
    <w:name w:val="heading 4"/>
    <w:aliases w:val="Heading 4 Aquamoney,Subsubparagraafkop,Annex A,Vedlegg A"/>
    <w:basedOn w:val="Normal"/>
    <w:next w:val="Normal"/>
    <w:link w:val="Heading4Char"/>
    <w:uiPriority w:val="99"/>
    <w:qFormat/>
    <w:rsid w:val="00DD4BD2"/>
    <w:pPr>
      <w:keepNext/>
      <w:numPr>
        <w:ilvl w:val="3"/>
        <w:numId w:val="25"/>
      </w:numPr>
      <w:spacing w:after="60"/>
      <w:jc w:val="left"/>
      <w:outlineLvl w:val="3"/>
    </w:pPr>
    <w:rPr>
      <w:color w:val="547844"/>
      <w:sz w:val="28"/>
    </w:rPr>
  </w:style>
  <w:style w:type="paragraph" w:styleId="Heading5">
    <w:name w:val="heading 5"/>
    <w:aliases w:val="Heading (no numbering in index) Aquamoney,Überschrift 5 Char"/>
    <w:basedOn w:val="Normal"/>
    <w:next w:val="Normal"/>
    <w:link w:val="Heading5Char"/>
    <w:uiPriority w:val="99"/>
    <w:qFormat/>
    <w:rsid w:val="00DD4BD2"/>
    <w:pPr>
      <w:keepNext/>
      <w:numPr>
        <w:ilvl w:val="4"/>
        <w:numId w:val="25"/>
      </w:numPr>
      <w:spacing w:after="60"/>
      <w:jc w:val="left"/>
      <w:outlineLvl w:val="4"/>
    </w:pPr>
    <w:rPr>
      <w:b/>
      <w:color w:val="547844"/>
      <w:sz w:val="24"/>
    </w:rPr>
  </w:style>
  <w:style w:type="paragraph" w:styleId="Heading6">
    <w:name w:val="heading 6"/>
    <w:aliases w:val="Appendix 1"/>
    <w:basedOn w:val="Heading1"/>
    <w:next w:val="Normal"/>
    <w:link w:val="Heading6Char"/>
    <w:uiPriority w:val="99"/>
    <w:qFormat/>
    <w:rsid w:val="000554D8"/>
    <w:pPr>
      <w:keepLines/>
      <w:numPr>
        <w:ilvl w:val="5"/>
      </w:numPr>
      <w:spacing w:before="0" w:after="600" w:line="264" w:lineRule="auto"/>
      <w:outlineLvl w:val="5"/>
    </w:pPr>
    <w:rPr>
      <w:rFonts w:ascii="LucidaSansEF" w:hAnsi="LucidaSansEF"/>
      <w:b w:val="0"/>
      <w:color w:val="000000"/>
      <w:sz w:val="32"/>
      <w:lang w:eastAsia="en-US"/>
    </w:rPr>
  </w:style>
  <w:style w:type="paragraph" w:styleId="Heading7">
    <w:name w:val="heading 7"/>
    <w:aliases w:val="Appendix 2"/>
    <w:basedOn w:val="Heading2"/>
    <w:next w:val="Normal"/>
    <w:link w:val="Heading7Char"/>
    <w:uiPriority w:val="99"/>
    <w:qFormat/>
    <w:rsid w:val="000554D8"/>
    <w:pPr>
      <w:keepLines/>
      <w:numPr>
        <w:ilvl w:val="6"/>
      </w:numPr>
      <w:spacing w:before="240" w:after="120" w:line="264" w:lineRule="auto"/>
      <w:outlineLvl w:val="6"/>
    </w:pPr>
    <w:rPr>
      <w:rFonts w:ascii="LucidaSansEF" w:hAnsi="LucidaSansEF"/>
      <w:b w:val="0"/>
      <w:color w:val="auto"/>
      <w:sz w:val="24"/>
      <w:lang w:eastAsia="en-US"/>
    </w:rPr>
  </w:style>
  <w:style w:type="paragraph" w:styleId="Heading8">
    <w:name w:val="heading 8"/>
    <w:aliases w:val="Appendix 3"/>
    <w:basedOn w:val="Heading3"/>
    <w:next w:val="Normal"/>
    <w:link w:val="Heading8Char"/>
    <w:uiPriority w:val="99"/>
    <w:qFormat/>
    <w:rsid w:val="000554D8"/>
    <w:pPr>
      <w:keepLines/>
      <w:numPr>
        <w:ilvl w:val="7"/>
      </w:numPr>
      <w:spacing w:before="240" w:after="120" w:line="264" w:lineRule="auto"/>
      <w:outlineLvl w:val="7"/>
    </w:pPr>
    <w:rPr>
      <w:rFonts w:ascii="LucidaSansEF" w:hAnsi="LucidaSansEF"/>
      <w:color w:val="auto"/>
      <w:sz w:val="24"/>
      <w:lang w:eastAsia="en-US"/>
    </w:rPr>
  </w:style>
  <w:style w:type="paragraph" w:styleId="Heading9">
    <w:name w:val="heading 9"/>
    <w:aliases w:val="Appendix 4"/>
    <w:basedOn w:val="Normal"/>
    <w:next w:val="Normal"/>
    <w:link w:val="Heading9Char"/>
    <w:uiPriority w:val="99"/>
    <w:qFormat/>
    <w:rsid w:val="002F3ACC"/>
    <w:pPr>
      <w:numPr>
        <w:ilvl w:val="8"/>
        <w:numId w:val="25"/>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quamoney Char,Hoofdstuktitel Char"/>
    <w:link w:val="Heading1"/>
    <w:uiPriority w:val="99"/>
    <w:locked/>
    <w:rsid w:val="00BD5483"/>
    <w:rPr>
      <w:rFonts w:ascii="Arial Bold" w:hAnsi="Arial Bold"/>
      <w:b/>
      <w:color w:val="008080"/>
      <w:sz w:val="40"/>
      <w:szCs w:val="40"/>
      <w:lang w:val="en-GB" w:eastAsia="en-GB"/>
    </w:rPr>
  </w:style>
  <w:style w:type="character" w:customStyle="1" w:styleId="Heading2Char">
    <w:name w:val="Heading 2 Char"/>
    <w:aliases w:val="Heading 2 Aquamoney Char,Paragraafkop Char"/>
    <w:link w:val="Heading2"/>
    <w:uiPriority w:val="99"/>
    <w:locked/>
    <w:rsid w:val="001F1492"/>
    <w:rPr>
      <w:rFonts w:ascii="Arial" w:hAnsi="Arial"/>
      <w:b/>
      <w:color w:val="9C9C9C"/>
      <w:sz w:val="36"/>
      <w:szCs w:val="20"/>
      <w:lang w:val="en-GB" w:eastAsia="en-GB"/>
    </w:rPr>
  </w:style>
  <w:style w:type="character" w:customStyle="1" w:styleId="Heading3Char">
    <w:name w:val="Heading 3 Char"/>
    <w:aliases w:val="Heading 3 Aquamoney Char,Subparagraafkop Char,Kap. 1.1.1. Char"/>
    <w:link w:val="Heading3"/>
    <w:uiPriority w:val="99"/>
    <w:locked/>
    <w:rsid w:val="001B6648"/>
    <w:rPr>
      <w:rFonts w:ascii="Arial" w:hAnsi="Arial"/>
      <w:color w:val="547844"/>
      <w:sz w:val="32"/>
      <w:szCs w:val="20"/>
      <w:lang w:val="en-GB" w:eastAsia="en-GB"/>
    </w:rPr>
  </w:style>
  <w:style w:type="character" w:customStyle="1" w:styleId="Heading4Char">
    <w:name w:val="Heading 4 Char"/>
    <w:aliases w:val="Heading 4 Aquamoney Char,Subsubparagraafkop Char,Annex A Char,Vedlegg A Char"/>
    <w:link w:val="Heading4"/>
    <w:uiPriority w:val="99"/>
    <w:locked/>
    <w:rsid w:val="00DF751F"/>
    <w:rPr>
      <w:rFonts w:ascii="Arial" w:hAnsi="Arial"/>
      <w:color w:val="547844"/>
      <w:sz w:val="28"/>
      <w:szCs w:val="20"/>
      <w:lang w:val="en-GB" w:eastAsia="en-GB"/>
    </w:rPr>
  </w:style>
  <w:style w:type="character" w:customStyle="1" w:styleId="Heading5Char">
    <w:name w:val="Heading 5 Char"/>
    <w:aliases w:val="Heading (no numbering in index) Aquamoney Char,Überschrift 5 Char Char"/>
    <w:link w:val="Heading5"/>
    <w:uiPriority w:val="99"/>
    <w:locked/>
    <w:rsid w:val="00DF751F"/>
    <w:rPr>
      <w:rFonts w:ascii="Arial" w:hAnsi="Arial"/>
      <w:b/>
      <w:color w:val="547844"/>
      <w:sz w:val="24"/>
      <w:szCs w:val="20"/>
      <w:lang w:val="en-GB" w:eastAsia="en-GB"/>
    </w:rPr>
  </w:style>
  <w:style w:type="character" w:customStyle="1" w:styleId="Heading6Char">
    <w:name w:val="Heading 6 Char"/>
    <w:aliases w:val="Appendix 1 Char"/>
    <w:link w:val="Heading6"/>
    <w:uiPriority w:val="99"/>
    <w:locked/>
    <w:rsid w:val="000554D8"/>
    <w:rPr>
      <w:rFonts w:ascii="LucidaSansEF" w:hAnsi="LucidaSansEF"/>
      <w:color w:val="000000"/>
      <w:sz w:val="32"/>
      <w:szCs w:val="40"/>
      <w:lang w:val="en-GB" w:eastAsia="en-US"/>
    </w:rPr>
  </w:style>
  <w:style w:type="character" w:customStyle="1" w:styleId="Heading7Char">
    <w:name w:val="Heading 7 Char"/>
    <w:aliases w:val="Appendix 2 Char"/>
    <w:link w:val="Heading7"/>
    <w:uiPriority w:val="99"/>
    <w:locked/>
    <w:rsid w:val="000554D8"/>
    <w:rPr>
      <w:rFonts w:ascii="LucidaSansEF" w:hAnsi="LucidaSansEF"/>
      <w:sz w:val="24"/>
      <w:szCs w:val="20"/>
      <w:lang w:val="en-GB" w:eastAsia="en-US"/>
    </w:rPr>
  </w:style>
  <w:style w:type="character" w:customStyle="1" w:styleId="Heading8Char">
    <w:name w:val="Heading 8 Char"/>
    <w:aliases w:val="Appendix 3 Char"/>
    <w:link w:val="Heading8"/>
    <w:uiPriority w:val="99"/>
    <w:locked/>
    <w:rsid w:val="000554D8"/>
    <w:rPr>
      <w:rFonts w:ascii="LucidaSansEF" w:hAnsi="LucidaSansEF"/>
      <w:sz w:val="24"/>
      <w:szCs w:val="20"/>
      <w:lang w:val="en-GB" w:eastAsia="en-US"/>
    </w:rPr>
  </w:style>
  <w:style w:type="character" w:customStyle="1" w:styleId="Heading9Char">
    <w:name w:val="Heading 9 Char"/>
    <w:aliases w:val="Appendix 4 Char"/>
    <w:link w:val="Heading9"/>
    <w:uiPriority w:val="99"/>
    <w:locked/>
    <w:rsid w:val="002F3ACC"/>
    <w:rPr>
      <w:rFonts w:ascii="Calibri" w:hAnsi="Calibri"/>
      <w:color w:val="333333"/>
      <w:lang w:val="en-GB" w:eastAsia="en-GB"/>
    </w:rPr>
  </w:style>
  <w:style w:type="paragraph" w:styleId="Header">
    <w:name w:val="header"/>
    <w:aliases w:val="Even"/>
    <w:basedOn w:val="Normal"/>
    <w:link w:val="HeaderChar"/>
    <w:uiPriority w:val="99"/>
    <w:rsid w:val="007C2F7D"/>
    <w:pPr>
      <w:tabs>
        <w:tab w:val="center" w:pos="4320"/>
        <w:tab w:val="right" w:pos="8640"/>
      </w:tabs>
      <w:spacing w:after="600"/>
      <w:jc w:val="right"/>
    </w:pPr>
    <w:rPr>
      <w:color w:val="404040"/>
      <w:sz w:val="16"/>
    </w:rPr>
  </w:style>
  <w:style w:type="character" w:customStyle="1" w:styleId="HeaderChar">
    <w:name w:val="Header Char"/>
    <w:aliases w:val="Even Char"/>
    <w:link w:val="Header"/>
    <w:uiPriority w:val="99"/>
    <w:locked/>
    <w:rsid w:val="00DF751F"/>
    <w:rPr>
      <w:rFonts w:ascii="Arial" w:hAnsi="Arial"/>
      <w:color w:val="404040"/>
      <w:sz w:val="16"/>
      <w:lang w:val="en-GB" w:eastAsia="en-GB"/>
    </w:rPr>
  </w:style>
  <w:style w:type="paragraph" w:styleId="Footer">
    <w:name w:val="footer"/>
    <w:basedOn w:val="Normal"/>
    <w:link w:val="FooterChar"/>
    <w:uiPriority w:val="99"/>
    <w:rsid w:val="002F3ACC"/>
    <w:pPr>
      <w:tabs>
        <w:tab w:val="center" w:pos="4320"/>
        <w:tab w:val="right" w:pos="8640"/>
      </w:tabs>
    </w:pPr>
    <w:rPr>
      <w:sz w:val="16"/>
    </w:rPr>
  </w:style>
  <w:style w:type="character" w:customStyle="1" w:styleId="FooterChar">
    <w:name w:val="Footer Char"/>
    <w:link w:val="Footer"/>
    <w:uiPriority w:val="99"/>
    <w:locked/>
    <w:rsid w:val="00DF751F"/>
    <w:rPr>
      <w:rFonts w:ascii="Arial" w:hAnsi="Arial"/>
      <w:color w:val="333333"/>
      <w:sz w:val="16"/>
      <w:lang w:val="en-GB" w:eastAsia="en-GB"/>
    </w:rPr>
  </w:style>
  <w:style w:type="character" w:styleId="PageNumber">
    <w:name w:val="page number"/>
    <w:uiPriority w:val="99"/>
    <w:rsid w:val="004C507B"/>
    <w:rPr>
      <w:rFonts w:ascii="Arial" w:hAnsi="Arial" w:cs="Times New Roman"/>
      <w:color w:val="244061"/>
      <w:sz w:val="20"/>
    </w:rPr>
  </w:style>
  <w:style w:type="paragraph" w:styleId="TOC2">
    <w:name w:val="toc 2"/>
    <w:basedOn w:val="Normal"/>
    <w:next w:val="Normal"/>
    <w:autoRedefine/>
    <w:uiPriority w:val="99"/>
    <w:rsid w:val="00015240"/>
    <w:pPr>
      <w:tabs>
        <w:tab w:val="left" w:pos="880"/>
        <w:tab w:val="right" w:leader="dot" w:pos="9016"/>
      </w:tabs>
      <w:ind w:left="851" w:hanging="631"/>
    </w:pPr>
    <w:rPr>
      <w:b/>
      <w:noProof/>
      <w:lang w:val="en-US"/>
    </w:rPr>
  </w:style>
  <w:style w:type="paragraph" w:customStyle="1" w:styleId="HeaderOdd">
    <w:name w:val="Header Odd"/>
    <w:basedOn w:val="Header"/>
    <w:uiPriority w:val="99"/>
    <w:rsid w:val="007C2F7D"/>
  </w:style>
  <w:style w:type="paragraph" w:customStyle="1" w:styleId="Italic">
    <w:name w:val="Italic"/>
    <w:basedOn w:val="Normal"/>
    <w:autoRedefine/>
    <w:uiPriority w:val="99"/>
    <w:rsid w:val="00466F91"/>
    <w:rPr>
      <w:i/>
    </w:rPr>
  </w:style>
  <w:style w:type="paragraph" w:styleId="TOC1">
    <w:name w:val="toc 1"/>
    <w:basedOn w:val="Normal"/>
    <w:next w:val="Normal"/>
    <w:uiPriority w:val="99"/>
    <w:rsid w:val="005C7393"/>
  </w:style>
  <w:style w:type="paragraph" w:styleId="TOC3">
    <w:name w:val="toc 3"/>
    <w:basedOn w:val="Normal"/>
    <w:next w:val="Normal"/>
    <w:autoRedefine/>
    <w:uiPriority w:val="99"/>
    <w:rsid w:val="005C7393"/>
    <w:pPr>
      <w:ind w:left="440"/>
    </w:pPr>
  </w:style>
  <w:style w:type="paragraph" w:styleId="TOC4">
    <w:name w:val="toc 4"/>
    <w:basedOn w:val="Normal"/>
    <w:next w:val="Normal"/>
    <w:autoRedefine/>
    <w:uiPriority w:val="99"/>
    <w:rsid w:val="005C7393"/>
    <w:pPr>
      <w:ind w:left="660"/>
    </w:pPr>
  </w:style>
  <w:style w:type="paragraph" w:styleId="TOC5">
    <w:name w:val="toc 5"/>
    <w:basedOn w:val="Normal"/>
    <w:next w:val="Normal"/>
    <w:autoRedefine/>
    <w:uiPriority w:val="99"/>
    <w:rsid w:val="005C7393"/>
    <w:pPr>
      <w:ind w:left="880"/>
    </w:pPr>
  </w:style>
  <w:style w:type="paragraph" w:styleId="TOC6">
    <w:name w:val="toc 6"/>
    <w:basedOn w:val="Normal"/>
    <w:next w:val="Normal"/>
    <w:autoRedefine/>
    <w:uiPriority w:val="99"/>
    <w:rsid w:val="005C7393"/>
    <w:pPr>
      <w:ind w:left="1100"/>
    </w:pPr>
  </w:style>
  <w:style w:type="paragraph" w:styleId="TOC7">
    <w:name w:val="toc 7"/>
    <w:basedOn w:val="Normal"/>
    <w:next w:val="Normal"/>
    <w:autoRedefine/>
    <w:uiPriority w:val="99"/>
    <w:rsid w:val="005C7393"/>
    <w:pPr>
      <w:ind w:left="1320"/>
    </w:pPr>
  </w:style>
  <w:style w:type="paragraph" w:styleId="TOC8">
    <w:name w:val="toc 8"/>
    <w:basedOn w:val="Normal"/>
    <w:next w:val="Normal"/>
    <w:autoRedefine/>
    <w:uiPriority w:val="99"/>
    <w:rsid w:val="005C7393"/>
    <w:pPr>
      <w:ind w:left="1540"/>
    </w:pPr>
  </w:style>
  <w:style w:type="paragraph" w:styleId="TOC9">
    <w:name w:val="toc 9"/>
    <w:basedOn w:val="Normal"/>
    <w:next w:val="Normal"/>
    <w:autoRedefine/>
    <w:uiPriority w:val="99"/>
    <w:rsid w:val="005C7393"/>
    <w:pPr>
      <w:ind w:left="1760"/>
    </w:pPr>
  </w:style>
  <w:style w:type="paragraph" w:styleId="BalloonText">
    <w:name w:val="Balloon Text"/>
    <w:basedOn w:val="Normal"/>
    <w:link w:val="BalloonTextChar"/>
    <w:uiPriority w:val="99"/>
    <w:rsid w:val="002F3ACC"/>
    <w:rPr>
      <w:rFonts w:ascii="Tahoma" w:hAnsi="Tahoma"/>
      <w:sz w:val="16"/>
      <w:szCs w:val="16"/>
    </w:rPr>
  </w:style>
  <w:style w:type="character" w:customStyle="1" w:styleId="BalloonTextChar">
    <w:name w:val="Balloon Text Char"/>
    <w:link w:val="BalloonText"/>
    <w:uiPriority w:val="99"/>
    <w:locked/>
    <w:rsid w:val="00DF751F"/>
    <w:rPr>
      <w:rFonts w:ascii="Tahoma" w:hAnsi="Tahoma"/>
      <w:color w:val="333333"/>
      <w:sz w:val="16"/>
      <w:lang w:val="en-GB" w:eastAsia="en-GB"/>
    </w:rPr>
  </w:style>
  <w:style w:type="paragraph" w:customStyle="1" w:styleId="NormalBold">
    <w:name w:val="Normal Bold"/>
    <w:basedOn w:val="Normal"/>
    <w:uiPriority w:val="99"/>
    <w:rsid w:val="00466F91"/>
    <w:rPr>
      <w:b/>
    </w:rPr>
  </w:style>
  <w:style w:type="paragraph" w:styleId="ListBullet">
    <w:name w:val="List Bullet"/>
    <w:basedOn w:val="Normal"/>
    <w:uiPriority w:val="99"/>
    <w:rsid w:val="00DD4BD2"/>
    <w:pPr>
      <w:ind w:left="360" w:hanging="360"/>
      <w:jc w:val="left"/>
    </w:pPr>
  </w:style>
  <w:style w:type="paragraph" w:styleId="ListBullet2">
    <w:name w:val="List Bullet 2"/>
    <w:basedOn w:val="Normal"/>
    <w:uiPriority w:val="99"/>
    <w:rsid w:val="00DD4BD2"/>
    <w:pPr>
      <w:numPr>
        <w:numId w:val="8"/>
      </w:numPr>
      <w:jc w:val="left"/>
    </w:pPr>
  </w:style>
  <w:style w:type="paragraph" w:styleId="ListBullet3">
    <w:name w:val="List Bullet 3"/>
    <w:basedOn w:val="Normal"/>
    <w:uiPriority w:val="99"/>
    <w:rsid w:val="00DD4BD2"/>
    <w:pPr>
      <w:numPr>
        <w:numId w:val="9"/>
      </w:numPr>
      <w:tabs>
        <w:tab w:val="left" w:pos="851"/>
      </w:tabs>
    </w:pPr>
  </w:style>
  <w:style w:type="paragraph" w:styleId="ListNumber">
    <w:name w:val="List Number"/>
    <w:basedOn w:val="Normal"/>
    <w:uiPriority w:val="99"/>
    <w:rsid w:val="00DD4BD2"/>
    <w:pPr>
      <w:numPr>
        <w:numId w:val="10"/>
      </w:numPr>
      <w:tabs>
        <w:tab w:val="left" w:pos="284"/>
        <w:tab w:val="left" w:pos="567"/>
        <w:tab w:val="left" w:pos="851"/>
      </w:tabs>
      <w:jc w:val="left"/>
    </w:pPr>
  </w:style>
  <w:style w:type="paragraph" w:styleId="ListNumber2">
    <w:name w:val="List Number 2"/>
    <w:basedOn w:val="Normal"/>
    <w:uiPriority w:val="99"/>
    <w:rsid w:val="00DD4BD2"/>
    <w:pPr>
      <w:numPr>
        <w:numId w:val="11"/>
      </w:numPr>
      <w:tabs>
        <w:tab w:val="left" w:pos="567"/>
        <w:tab w:val="left" w:pos="851"/>
        <w:tab w:val="left" w:pos="1134"/>
        <w:tab w:val="left" w:pos="1418"/>
        <w:tab w:val="left" w:pos="1701"/>
      </w:tabs>
      <w:jc w:val="left"/>
    </w:pPr>
  </w:style>
  <w:style w:type="paragraph" w:styleId="ListNumber3">
    <w:name w:val="List Number 3"/>
    <w:basedOn w:val="Normal"/>
    <w:uiPriority w:val="99"/>
    <w:rsid w:val="00DD4BD2"/>
    <w:pPr>
      <w:numPr>
        <w:numId w:val="12"/>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uiPriority w:val="99"/>
    <w:rsid w:val="002F3ACC"/>
    <w:rPr>
      <w:rFonts w:cs="Times New Roman"/>
      <w:sz w:val="16"/>
    </w:rPr>
  </w:style>
  <w:style w:type="paragraph" w:styleId="CommentText">
    <w:name w:val="annotation text"/>
    <w:basedOn w:val="Normal"/>
    <w:link w:val="CommentTextChar"/>
    <w:uiPriority w:val="99"/>
    <w:rsid w:val="002F3ACC"/>
    <w:rPr>
      <w:sz w:val="20"/>
    </w:rPr>
  </w:style>
  <w:style w:type="character" w:customStyle="1" w:styleId="CommentTextChar">
    <w:name w:val="Comment Text Char"/>
    <w:link w:val="CommentText"/>
    <w:uiPriority w:val="99"/>
    <w:locked/>
    <w:rsid w:val="00DF751F"/>
    <w:rPr>
      <w:rFonts w:ascii="Arial" w:hAnsi="Arial"/>
      <w:color w:val="333333"/>
      <w:lang w:val="en-GB" w:eastAsia="en-GB"/>
    </w:rPr>
  </w:style>
  <w:style w:type="paragraph" w:styleId="CommentSubject">
    <w:name w:val="annotation subject"/>
    <w:basedOn w:val="CommentText"/>
    <w:next w:val="CommentText"/>
    <w:link w:val="CommentSubjectChar"/>
    <w:uiPriority w:val="99"/>
    <w:rsid w:val="002F3ACC"/>
    <w:rPr>
      <w:b/>
      <w:bCs/>
    </w:rPr>
  </w:style>
  <w:style w:type="character" w:customStyle="1" w:styleId="CommentSubjectChar">
    <w:name w:val="Comment Subject Char"/>
    <w:link w:val="CommentSubject"/>
    <w:uiPriority w:val="99"/>
    <w:locked/>
    <w:rsid w:val="00DF751F"/>
    <w:rPr>
      <w:rFonts w:ascii="Arial" w:hAnsi="Arial"/>
      <w:b/>
      <w:color w:val="333333"/>
      <w:lang w:val="en-GB" w:eastAsia="en-GB"/>
    </w:rPr>
  </w:style>
  <w:style w:type="paragraph" w:customStyle="1" w:styleId="Headline">
    <w:name w:val="Headline"/>
    <w:basedOn w:val="Normal"/>
    <w:uiPriority w:val="99"/>
    <w:rsid w:val="00A56A4A"/>
    <w:pPr>
      <w:spacing w:line="336" w:lineRule="auto"/>
    </w:pPr>
    <w:rPr>
      <w:sz w:val="28"/>
    </w:rPr>
  </w:style>
  <w:style w:type="table" w:customStyle="1" w:styleId="ColorfulGrid1">
    <w:name w:val="Colorful Grid1"/>
    <w:uiPriority w:val="99"/>
    <w:rsid w:val="00372C10"/>
    <w:rPr>
      <w:color w:val="000000"/>
      <w:lang w:val="en-IE" w:eastAsia="en-IE"/>
    </w:rPr>
    <w:tblPr>
      <w:tblOverlap w:val="never"/>
      <w:tblStyleRowBandSize w:val="1"/>
      <w:tblStyleColBandSize w:val="1"/>
      <w:jc w:val="center"/>
      <w:tblInd w:w="0" w:type="dxa"/>
      <w:tblBorders>
        <w:insideH w:val="single" w:sz="4" w:space="0" w:color="FFFFFF"/>
      </w:tblBorders>
      <w:tblCellMar>
        <w:top w:w="0" w:type="dxa"/>
        <w:left w:w="108" w:type="dxa"/>
        <w:bottom w:w="0" w:type="dxa"/>
        <w:right w:w="108" w:type="dxa"/>
      </w:tblCellMar>
    </w:tblPr>
    <w:trPr>
      <w:jc w:val="center"/>
    </w:trPr>
    <w:tcPr>
      <w:shd w:val="clear" w:color="auto" w:fill="CCCCCC"/>
    </w:tcPr>
  </w:style>
  <w:style w:type="table" w:styleId="TableGrid">
    <w:name w:val="Table Grid"/>
    <w:basedOn w:val="TableNormal"/>
    <w:uiPriority w:val="9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uiPriority w:val="99"/>
    <w:rsid w:val="000E47FB"/>
    <w:rPr>
      <w:rFonts w:ascii="Arial" w:hAnsi="Arial" w:cs="Times New Roman"/>
      <w:color w:val="632423"/>
      <w:u w:val="single"/>
    </w:rPr>
  </w:style>
  <w:style w:type="paragraph" w:styleId="DocumentMap">
    <w:name w:val="Document Map"/>
    <w:basedOn w:val="Normal"/>
    <w:link w:val="DocumentMapChar"/>
    <w:uiPriority w:val="99"/>
    <w:rsid w:val="002A4989"/>
    <w:pPr>
      <w:spacing w:after="0" w:line="240" w:lineRule="auto"/>
    </w:pPr>
    <w:rPr>
      <w:rFonts w:ascii="Tahoma" w:hAnsi="Tahoma"/>
      <w:color w:val="0D0D0D"/>
      <w:sz w:val="16"/>
      <w:szCs w:val="16"/>
    </w:rPr>
  </w:style>
  <w:style w:type="character" w:customStyle="1" w:styleId="DocumentMapChar">
    <w:name w:val="Document Map Char"/>
    <w:link w:val="DocumentMap"/>
    <w:uiPriority w:val="99"/>
    <w:locked/>
    <w:rsid w:val="002A4989"/>
    <w:rPr>
      <w:rFonts w:ascii="Tahoma" w:hAnsi="Tahoma"/>
      <w:color w:val="0D0D0D"/>
      <w:sz w:val="16"/>
      <w:lang w:val="en-GB" w:eastAsia="en-GB"/>
    </w:rPr>
  </w:style>
  <w:style w:type="paragraph" w:styleId="BodyText">
    <w:name w:val="Body Text"/>
    <w:basedOn w:val="Normal"/>
    <w:link w:val="BodyTextChar"/>
    <w:uiPriority w:val="99"/>
    <w:rsid w:val="002F3ACC"/>
    <w:pPr>
      <w:spacing w:after="120"/>
    </w:pPr>
    <w:rPr>
      <w:color w:val="0D0D0D"/>
    </w:rPr>
  </w:style>
  <w:style w:type="character" w:customStyle="1" w:styleId="BodyTextChar">
    <w:name w:val="Body Text Char"/>
    <w:link w:val="BodyText"/>
    <w:uiPriority w:val="99"/>
    <w:locked/>
    <w:rsid w:val="00B83545"/>
    <w:rPr>
      <w:rFonts w:ascii="Arial" w:hAnsi="Arial"/>
      <w:color w:val="0D0D0D"/>
      <w:sz w:val="22"/>
      <w:lang w:val="en-GB" w:eastAsia="en-GB"/>
    </w:r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rsid w:val="00F3400F"/>
    <w:pPr>
      <w:pBdr>
        <w:top w:val="single" w:sz="18" w:space="1" w:color="F2F2F2"/>
        <w:left w:val="single" w:sz="18" w:space="4" w:color="F2F2F2"/>
        <w:bottom w:val="single" w:sz="18" w:space="1" w:color="F2F2F2"/>
        <w:right w:val="single" w:sz="18" w:space="4" w:color="F2F2F2"/>
      </w:pBdr>
      <w:shd w:val="clear" w:color="auto" w:fill="F2F2F2"/>
      <w:spacing w:before="120" w:after="120" w:line="240" w:lineRule="auto"/>
      <w:ind w:left="113" w:right="113"/>
    </w:pPr>
    <w:rPr>
      <w:color w:val="404040"/>
      <w:sz w:val="20"/>
    </w:rPr>
  </w:style>
  <w:style w:type="paragraph" w:customStyle="1" w:styleId="PretendHeading1">
    <w:name w:val="Pretend Heading 1"/>
    <w:basedOn w:val="Normal"/>
    <w:uiPriority w:val="99"/>
    <w:rsid w:val="00A56A4A"/>
    <w:pPr>
      <w:spacing w:before="120" w:after="240"/>
    </w:pPr>
    <w:rPr>
      <w:b/>
      <w:color w:val="9C9C9C"/>
      <w:sz w:val="40"/>
    </w:rPr>
  </w:style>
  <w:style w:type="paragraph" w:styleId="TableofFigures">
    <w:name w:val="table of figures"/>
    <w:basedOn w:val="Normal"/>
    <w:next w:val="Normal"/>
    <w:uiPriority w:val="99"/>
    <w:rsid w:val="002F3ACC"/>
    <w:pPr>
      <w:ind w:left="440" w:hanging="440"/>
    </w:pPr>
  </w:style>
  <w:style w:type="paragraph" w:styleId="TOCHeading">
    <w:name w:val="TOC Heading"/>
    <w:basedOn w:val="Heading1"/>
    <w:next w:val="Normal"/>
    <w:uiPriority w:val="99"/>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paragraph" w:styleId="ListParagraph">
    <w:name w:val="List Paragraph"/>
    <w:basedOn w:val="Normal"/>
    <w:uiPriority w:val="99"/>
    <w:qFormat/>
    <w:rsid w:val="000554D8"/>
    <w:pPr>
      <w:suppressAutoHyphens w:val="0"/>
      <w:spacing w:after="0" w:line="360" w:lineRule="auto"/>
      <w:ind w:left="720"/>
      <w:contextualSpacing/>
      <w:jc w:val="left"/>
    </w:pPr>
    <w:rPr>
      <w:rFonts w:ascii="Times New Roman" w:hAnsi="Times New Roman"/>
      <w:color w:val="auto"/>
      <w:sz w:val="24"/>
      <w:szCs w:val="24"/>
      <w:lang w:val="en-US" w:eastAsia="en-US"/>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o,f"/>
    <w:basedOn w:val="Normal"/>
    <w:link w:val="FootnoteTextChar"/>
    <w:uiPriority w:val="99"/>
    <w:rsid w:val="000554D8"/>
    <w:pPr>
      <w:suppressAutoHyphens w:val="0"/>
      <w:spacing w:after="0" w:line="240" w:lineRule="auto"/>
      <w:jc w:val="left"/>
    </w:pPr>
    <w:rPr>
      <w:rFonts w:ascii="Times New Roman" w:hAnsi="Times New Roman"/>
      <w:color w:val="auto"/>
      <w:sz w:val="20"/>
      <w:lang w:val="en-IE"/>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link w:val="FootnoteText"/>
    <w:uiPriority w:val="99"/>
    <w:locked/>
    <w:rsid w:val="000554D8"/>
    <w:rPr>
      <w:rFonts w:eastAsia="Times New Roman"/>
    </w:rPr>
  </w:style>
  <w:style w:type="character" w:styleId="FootnoteReference">
    <w:name w:val="footnote reference"/>
    <w:aliases w:val="number,Footnote symbol,Voetnootverwijzing,Times 10 Point,Exposant 3 Point,Footnote reference number,note TESI,SUPERS,EN Footnote Reference,Ref,de nota al pie,Footnote Reference Superscript,Footnote sign,BVI fnr,f1"/>
    <w:uiPriority w:val="99"/>
    <w:rsid w:val="000554D8"/>
    <w:rPr>
      <w:rFonts w:cs="Times New Roman"/>
      <w:vertAlign w:val="superscript"/>
    </w:rPr>
  </w:style>
  <w:style w:type="character" w:customStyle="1" w:styleId="apple-converted-space">
    <w:name w:val="apple-converted-space"/>
    <w:uiPriority w:val="99"/>
    <w:rsid w:val="009B5B06"/>
  </w:style>
  <w:style w:type="paragraph" w:customStyle="1" w:styleId="Default">
    <w:name w:val="Default"/>
    <w:uiPriority w:val="99"/>
    <w:rsid w:val="003C6002"/>
    <w:pPr>
      <w:autoSpaceDE w:val="0"/>
      <w:autoSpaceDN w:val="0"/>
      <w:adjustRightInd w:val="0"/>
    </w:pPr>
    <w:rPr>
      <w:rFonts w:ascii="Cambria" w:hAnsi="Cambria" w:cs="Cambria"/>
      <w:color w:val="000000"/>
      <w:sz w:val="24"/>
      <w:szCs w:val="24"/>
      <w:lang w:val="en-GB"/>
    </w:rPr>
  </w:style>
  <w:style w:type="character" w:styleId="FollowedHyperlink">
    <w:name w:val="FollowedHyperlink"/>
    <w:uiPriority w:val="99"/>
    <w:rsid w:val="003C6002"/>
    <w:rPr>
      <w:rFonts w:cs="Times New Roman"/>
      <w:color w:val="AF324E"/>
      <w:u w:val="single"/>
    </w:rPr>
  </w:style>
  <w:style w:type="paragraph" w:customStyle="1" w:styleId="HeadingtableAquamoney">
    <w:name w:val="Heading table Aquamoney"/>
    <w:basedOn w:val="Normal"/>
    <w:uiPriority w:val="99"/>
    <w:rsid w:val="00644D36"/>
    <w:pPr>
      <w:suppressAutoHyphens w:val="0"/>
      <w:spacing w:after="200" w:line="300" w:lineRule="exact"/>
      <w:jc w:val="left"/>
    </w:pPr>
    <w:rPr>
      <w:rFonts w:ascii="Futura-Bold" w:hAnsi="Futura-Bold"/>
      <w:color w:val="auto"/>
      <w:sz w:val="16"/>
      <w:szCs w:val="22"/>
      <w:lang w:eastAsia="nl-NL"/>
    </w:rPr>
  </w:style>
  <w:style w:type="paragraph" w:customStyle="1" w:styleId="Equation">
    <w:name w:val="Equation"/>
    <w:basedOn w:val="Normal"/>
    <w:next w:val="Normal"/>
    <w:uiPriority w:val="99"/>
    <w:rsid w:val="00DF751F"/>
    <w:pPr>
      <w:suppressAutoHyphens w:val="0"/>
      <w:spacing w:after="200" w:line="276" w:lineRule="auto"/>
      <w:ind w:left="340"/>
      <w:jc w:val="left"/>
    </w:pPr>
    <w:rPr>
      <w:rFonts w:ascii="Calibri" w:hAnsi="Calibri"/>
      <w:color w:val="auto"/>
      <w:szCs w:val="22"/>
      <w:lang w:eastAsia="en-US"/>
    </w:rPr>
  </w:style>
  <w:style w:type="paragraph" w:customStyle="1" w:styleId="EquationNumber">
    <w:name w:val="EquationNumber"/>
    <w:basedOn w:val="Equation"/>
    <w:next w:val="Normal"/>
    <w:uiPriority w:val="99"/>
    <w:rsid w:val="00DF751F"/>
    <w:pPr>
      <w:ind w:left="0"/>
      <w:jc w:val="right"/>
    </w:pPr>
  </w:style>
  <w:style w:type="paragraph" w:customStyle="1" w:styleId="Heading0">
    <w:name w:val="Heading 0"/>
    <w:basedOn w:val="Heading1"/>
    <w:next w:val="Normal"/>
    <w:uiPriority w:val="99"/>
    <w:rsid w:val="00DF751F"/>
    <w:pPr>
      <w:keepLines/>
      <w:numPr>
        <w:numId w:val="0"/>
      </w:numPr>
      <w:tabs>
        <w:tab w:val="left" w:pos="720"/>
      </w:tabs>
      <w:spacing w:before="0" w:after="200" w:line="276" w:lineRule="auto"/>
    </w:pPr>
    <w:rPr>
      <w:rFonts w:ascii="Calibri" w:hAnsi="Calibri"/>
      <w:b w:val="0"/>
      <w:color w:val="000000"/>
      <w:sz w:val="28"/>
      <w:szCs w:val="22"/>
      <w:lang w:eastAsia="en-US"/>
    </w:rPr>
  </w:style>
  <w:style w:type="paragraph" w:customStyle="1" w:styleId="Heading0notinTOC">
    <w:name w:val="Heading 0 (not in TOC)"/>
    <w:basedOn w:val="Heading1"/>
    <w:next w:val="Normal"/>
    <w:uiPriority w:val="99"/>
    <w:rsid w:val="00DF751F"/>
    <w:pPr>
      <w:keepLines/>
      <w:numPr>
        <w:numId w:val="0"/>
      </w:numPr>
      <w:tabs>
        <w:tab w:val="left" w:pos="720"/>
      </w:tabs>
      <w:spacing w:before="0" w:after="200" w:line="276" w:lineRule="auto"/>
    </w:pPr>
    <w:rPr>
      <w:rFonts w:ascii="Calibri" w:hAnsi="Calibri"/>
      <w:b w:val="0"/>
      <w:color w:val="000000"/>
      <w:sz w:val="28"/>
      <w:szCs w:val="22"/>
      <w:lang w:eastAsia="en-US"/>
    </w:rPr>
  </w:style>
  <w:style w:type="paragraph" w:customStyle="1" w:styleId="ListBulletLast">
    <w:name w:val="List Bullet Last"/>
    <w:basedOn w:val="ListBullet1"/>
    <w:next w:val="Normal"/>
    <w:uiPriority w:val="99"/>
    <w:rsid w:val="00DF751F"/>
    <w:pPr>
      <w:spacing w:after="120"/>
    </w:pPr>
  </w:style>
  <w:style w:type="paragraph" w:customStyle="1" w:styleId="ListNumberLast">
    <w:name w:val="List Number Last"/>
    <w:basedOn w:val="ListNumber"/>
    <w:next w:val="Normal"/>
    <w:uiPriority w:val="99"/>
    <w:rsid w:val="00DF751F"/>
    <w:pPr>
      <w:numPr>
        <w:numId w:val="0"/>
      </w:numPr>
      <w:tabs>
        <w:tab w:val="clear" w:pos="284"/>
        <w:tab w:val="clear" w:pos="567"/>
      </w:tabs>
      <w:suppressAutoHyphens w:val="0"/>
      <w:spacing w:after="120" w:line="276" w:lineRule="auto"/>
    </w:pPr>
    <w:rPr>
      <w:rFonts w:ascii="Calibri" w:hAnsi="Calibri"/>
      <w:color w:val="auto"/>
      <w:szCs w:val="22"/>
      <w:lang w:eastAsia="en-US"/>
    </w:rPr>
  </w:style>
  <w:style w:type="paragraph" w:customStyle="1" w:styleId="Reference">
    <w:name w:val="Reference"/>
    <w:basedOn w:val="Normal"/>
    <w:uiPriority w:val="99"/>
    <w:rsid w:val="00DF751F"/>
    <w:pPr>
      <w:suppressAutoHyphens w:val="0"/>
      <w:spacing w:after="60" w:line="276" w:lineRule="auto"/>
      <w:ind w:left="340" w:hanging="340"/>
      <w:jc w:val="left"/>
    </w:pPr>
    <w:rPr>
      <w:rFonts w:ascii="Calibri" w:hAnsi="Calibri"/>
      <w:color w:val="auto"/>
      <w:sz w:val="21"/>
      <w:szCs w:val="22"/>
      <w:lang w:eastAsia="en-US"/>
    </w:rPr>
  </w:style>
  <w:style w:type="paragraph" w:styleId="Subtitle">
    <w:name w:val="Subtitle"/>
    <w:basedOn w:val="Normal"/>
    <w:next w:val="NormalIndent"/>
    <w:link w:val="SubtitleChar"/>
    <w:uiPriority w:val="99"/>
    <w:qFormat/>
    <w:rsid w:val="00DF751F"/>
    <w:pPr>
      <w:suppressAutoHyphens w:val="0"/>
      <w:spacing w:after="200" w:line="276" w:lineRule="auto"/>
      <w:ind w:left="567"/>
      <w:jc w:val="left"/>
    </w:pPr>
    <w:rPr>
      <w:rFonts w:ascii="Calibri" w:hAnsi="Calibri"/>
      <w:b/>
      <w:color w:val="auto"/>
      <w:szCs w:val="22"/>
    </w:rPr>
  </w:style>
  <w:style w:type="character" w:customStyle="1" w:styleId="SubtitleChar">
    <w:name w:val="Subtitle Char"/>
    <w:link w:val="Subtitle"/>
    <w:uiPriority w:val="99"/>
    <w:locked/>
    <w:rsid w:val="00DF751F"/>
    <w:rPr>
      <w:rFonts w:ascii="Calibri" w:hAnsi="Calibri"/>
      <w:b/>
      <w:sz w:val="22"/>
      <w:lang w:val="en-GB"/>
    </w:rPr>
  </w:style>
  <w:style w:type="paragraph" w:customStyle="1" w:styleId="Table">
    <w:name w:val="Table"/>
    <w:basedOn w:val="Normal"/>
    <w:uiPriority w:val="99"/>
    <w:rsid w:val="00DF751F"/>
    <w:pPr>
      <w:keepNext/>
      <w:keepLines/>
      <w:suppressAutoHyphens w:val="0"/>
      <w:spacing w:after="200" w:line="276" w:lineRule="auto"/>
      <w:jc w:val="left"/>
    </w:pPr>
    <w:rPr>
      <w:rFonts w:ascii="Calibri" w:hAnsi="Calibri"/>
      <w:color w:val="auto"/>
      <w:sz w:val="21"/>
      <w:szCs w:val="22"/>
      <w:lang w:eastAsia="en-US"/>
    </w:rPr>
  </w:style>
  <w:style w:type="paragraph" w:styleId="Title">
    <w:name w:val="Title"/>
    <w:basedOn w:val="Normal"/>
    <w:next w:val="Subtitle"/>
    <w:link w:val="TitleChar"/>
    <w:uiPriority w:val="99"/>
    <w:qFormat/>
    <w:rsid w:val="00DF751F"/>
    <w:pPr>
      <w:spacing w:before="1000" w:after="200" w:line="276" w:lineRule="auto"/>
      <w:ind w:left="567"/>
      <w:jc w:val="left"/>
    </w:pPr>
    <w:rPr>
      <w:rFonts w:ascii="Calibri" w:hAnsi="Calibri"/>
      <w:color w:val="auto"/>
      <w:kern w:val="28"/>
      <w:szCs w:val="22"/>
    </w:rPr>
  </w:style>
  <w:style w:type="character" w:customStyle="1" w:styleId="TitleChar">
    <w:name w:val="Title Char"/>
    <w:link w:val="Title"/>
    <w:uiPriority w:val="99"/>
    <w:locked/>
    <w:rsid w:val="00DF751F"/>
    <w:rPr>
      <w:rFonts w:ascii="Calibri" w:hAnsi="Calibri"/>
      <w:kern w:val="28"/>
      <w:sz w:val="22"/>
      <w:lang w:val="en-GB"/>
    </w:rPr>
  </w:style>
  <w:style w:type="paragraph" w:customStyle="1" w:styleId="Figure">
    <w:name w:val="Figure"/>
    <w:basedOn w:val="Normal"/>
    <w:next w:val="Normal"/>
    <w:uiPriority w:val="99"/>
    <w:rsid w:val="00DF751F"/>
    <w:pPr>
      <w:keepNext/>
      <w:keepLines/>
      <w:suppressAutoHyphens w:val="0"/>
      <w:spacing w:after="200" w:line="276" w:lineRule="auto"/>
      <w:jc w:val="left"/>
    </w:pPr>
    <w:rPr>
      <w:rFonts w:ascii="Calibri" w:hAnsi="Calibri"/>
      <w:color w:val="auto"/>
      <w:szCs w:val="22"/>
      <w:lang w:eastAsia="en-US"/>
    </w:rPr>
  </w:style>
  <w:style w:type="character" w:customStyle="1" w:styleId="MTEquationSection">
    <w:name w:val="MTEquationSection"/>
    <w:uiPriority w:val="99"/>
    <w:rsid w:val="00DF751F"/>
    <w:rPr>
      <w:vanish/>
      <w:color w:val="FF0000"/>
    </w:rPr>
  </w:style>
  <w:style w:type="paragraph" w:styleId="NormalIndent">
    <w:name w:val="Normal Indent"/>
    <w:basedOn w:val="Normal"/>
    <w:uiPriority w:val="99"/>
    <w:semiHidden/>
    <w:rsid w:val="00DF751F"/>
    <w:pPr>
      <w:suppressAutoHyphens w:val="0"/>
      <w:spacing w:after="200" w:line="276" w:lineRule="auto"/>
      <w:ind w:left="567"/>
      <w:jc w:val="left"/>
    </w:pPr>
    <w:rPr>
      <w:rFonts w:ascii="Calibri" w:hAnsi="Calibri"/>
      <w:color w:val="auto"/>
      <w:szCs w:val="22"/>
      <w:lang w:eastAsia="en-US"/>
    </w:rPr>
  </w:style>
  <w:style w:type="paragraph" w:customStyle="1" w:styleId="ListBullet1">
    <w:name w:val="List Bullet1"/>
    <w:basedOn w:val="Listbullet1stlevel"/>
    <w:uiPriority w:val="99"/>
    <w:rsid w:val="00DF751F"/>
  </w:style>
  <w:style w:type="paragraph" w:customStyle="1" w:styleId="Listcharacter1stlevel">
    <w:name w:val="List character 1st level"/>
    <w:basedOn w:val="Normal"/>
    <w:uiPriority w:val="99"/>
    <w:rsid w:val="00DF751F"/>
    <w:pPr>
      <w:tabs>
        <w:tab w:val="left" w:pos="284"/>
        <w:tab w:val="left" w:pos="567"/>
        <w:tab w:val="left" w:pos="851"/>
      </w:tabs>
      <w:suppressAutoHyphens w:val="0"/>
      <w:spacing w:after="200" w:line="276" w:lineRule="auto"/>
      <w:ind w:left="284" w:hanging="284"/>
      <w:jc w:val="left"/>
    </w:pPr>
    <w:rPr>
      <w:rFonts w:ascii="Calibri" w:hAnsi="Calibri"/>
      <w:color w:val="auto"/>
      <w:szCs w:val="23"/>
      <w:lang w:eastAsia="nl-NL"/>
    </w:rPr>
  </w:style>
  <w:style w:type="paragraph" w:customStyle="1" w:styleId="Listcharacter2ndlevel">
    <w:name w:val="List character 2nd level"/>
    <w:basedOn w:val="Normal"/>
    <w:uiPriority w:val="99"/>
    <w:rsid w:val="00DF751F"/>
    <w:pPr>
      <w:numPr>
        <w:ilvl w:val="1"/>
        <w:numId w:val="7"/>
      </w:numPr>
      <w:tabs>
        <w:tab w:val="left" w:pos="284"/>
        <w:tab w:val="left" w:pos="567"/>
        <w:tab w:val="left" w:pos="851"/>
      </w:tabs>
      <w:suppressAutoHyphens w:val="0"/>
      <w:spacing w:after="200" w:line="276" w:lineRule="auto"/>
      <w:ind w:left="568" w:hanging="284"/>
      <w:jc w:val="left"/>
    </w:pPr>
    <w:rPr>
      <w:rFonts w:ascii="Calibri" w:hAnsi="Calibri"/>
      <w:color w:val="auto"/>
      <w:szCs w:val="23"/>
      <w:lang w:eastAsia="nl-NL"/>
    </w:rPr>
  </w:style>
  <w:style w:type="paragraph" w:customStyle="1" w:styleId="Listcharacter3rdlevel">
    <w:name w:val="List character 3rd level"/>
    <w:basedOn w:val="Normal"/>
    <w:uiPriority w:val="99"/>
    <w:rsid w:val="00DF751F"/>
    <w:pPr>
      <w:numPr>
        <w:ilvl w:val="2"/>
        <w:numId w:val="7"/>
      </w:numPr>
      <w:tabs>
        <w:tab w:val="left" w:pos="284"/>
        <w:tab w:val="left" w:pos="567"/>
        <w:tab w:val="left" w:pos="851"/>
      </w:tabs>
      <w:suppressAutoHyphens w:val="0"/>
      <w:spacing w:after="200" w:line="276" w:lineRule="auto"/>
      <w:ind w:left="852" w:hanging="284"/>
      <w:jc w:val="left"/>
    </w:pPr>
    <w:rPr>
      <w:rFonts w:ascii="Calibri" w:hAnsi="Calibri"/>
      <w:color w:val="auto"/>
      <w:szCs w:val="23"/>
      <w:lang w:eastAsia="nl-NL"/>
    </w:rPr>
  </w:style>
  <w:style w:type="paragraph" w:customStyle="1" w:styleId="Listnumber1stlevel">
    <w:name w:val="List number 1st level"/>
    <w:basedOn w:val="Normal"/>
    <w:uiPriority w:val="99"/>
    <w:rsid w:val="00DF751F"/>
    <w:pPr>
      <w:numPr>
        <w:numId w:val="23"/>
      </w:numPr>
      <w:tabs>
        <w:tab w:val="left" w:pos="794"/>
        <w:tab w:val="left" w:pos="1191"/>
      </w:tabs>
      <w:suppressAutoHyphens w:val="0"/>
      <w:spacing w:after="200" w:line="276" w:lineRule="auto"/>
      <w:jc w:val="left"/>
    </w:pPr>
    <w:rPr>
      <w:rFonts w:ascii="Calibri" w:hAnsi="Calibri"/>
      <w:color w:val="auto"/>
      <w:szCs w:val="23"/>
      <w:lang w:eastAsia="nl-NL"/>
    </w:rPr>
  </w:style>
  <w:style w:type="paragraph" w:customStyle="1" w:styleId="Listnumber2ndlevel">
    <w:name w:val="List number 2nd level"/>
    <w:basedOn w:val="Normal"/>
    <w:uiPriority w:val="99"/>
    <w:rsid w:val="00DF751F"/>
    <w:pPr>
      <w:numPr>
        <w:ilvl w:val="1"/>
        <w:numId w:val="23"/>
      </w:numPr>
      <w:tabs>
        <w:tab w:val="left" w:pos="1191"/>
      </w:tabs>
      <w:suppressAutoHyphens w:val="0"/>
      <w:spacing w:after="200" w:line="276" w:lineRule="auto"/>
      <w:jc w:val="left"/>
    </w:pPr>
    <w:rPr>
      <w:rFonts w:ascii="Calibri" w:hAnsi="Calibri"/>
      <w:color w:val="auto"/>
      <w:szCs w:val="23"/>
      <w:lang w:eastAsia="nl-NL"/>
    </w:rPr>
  </w:style>
  <w:style w:type="paragraph" w:customStyle="1" w:styleId="Listnumber3rdlevel">
    <w:name w:val="List number 3rd level"/>
    <w:basedOn w:val="Normal"/>
    <w:uiPriority w:val="99"/>
    <w:rsid w:val="00DF751F"/>
    <w:pPr>
      <w:numPr>
        <w:ilvl w:val="2"/>
        <w:numId w:val="23"/>
      </w:numPr>
      <w:tabs>
        <w:tab w:val="left" w:pos="794"/>
      </w:tabs>
      <w:suppressAutoHyphens w:val="0"/>
      <w:spacing w:after="200" w:line="276" w:lineRule="auto"/>
      <w:jc w:val="left"/>
    </w:pPr>
    <w:rPr>
      <w:rFonts w:ascii="Calibri" w:hAnsi="Calibri"/>
      <w:color w:val="auto"/>
      <w:szCs w:val="23"/>
      <w:lang w:eastAsia="nl-NL"/>
    </w:rPr>
  </w:style>
  <w:style w:type="paragraph" w:customStyle="1" w:styleId="Listbullet1stlevel">
    <w:name w:val="List bullet 1st level"/>
    <w:basedOn w:val="Listbullet2ndlevel"/>
    <w:uiPriority w:val="99"/>
    <w:rsid w:val="00DF751F"/>
    <w:pPr>
      <w:numPr>
        <w:numId w:val="24"/>
      </w:numPr>
    </w:pPr>
  </w:style>
  <w:style w:type="paragraph" w:customStyle="1" w:styleId="Listbullet2ndlevel">
    <w:name w:val="List bullet 2nd level"/>
    <w:basedOn w:val="Normal"/>
    <w:uiPriority w:val="99"/>
    <w:rsid w:val="00DF751F"/>
    <w:pPr>
      <w:numPr>
        <w:numId w:val="22"/>
      </w:numPr>
      <w:tabs>
        <w:tab w:val="left" w:pos="284"/>
        <w:tab w:val="left" w:pos="851"/>
      </w:tabs>
      <w:suppressAutoHyphens w:val="0"/>
      <w:spacing w:after="200" w:line="276" w:lineRule="auto"/>
      <w:jc w:val="left"/>
    </w:pPr>
    <w:rPr>
      <w:rFonts w:ascii="Calibri" w:hAnsi="Calibri"/>
      <w:color w:val="auto"/>
      <w:szCs w:val="23"/>
      <w:lang w:eastAsia="nl-NL"/>
    </w:rPr>
  </w:style>
  <w:style w:type="paragraph" w:customStyle="1" w:styleId="Listbullet3rdlevel">
    <w:name w:val="List bullet 3rd level"/>
    <w:basedOn w:val="Normal"/>
    <w:uiPriority w:val="99"/>
    <w:rsid w:val="00DF751F"/>
    <w:pPr>
      <w:numPr>
        <w:numId w:val="21"/>
      </w:numPr>
      <w:tabs>
        <w:tab w:val="left" w:pos="284"/>
        <w:tab w:val="left" w:pos="567"/>
      </w:tabs>
      <w:suppressAutoHyphens w:val="0"/>
      <w:spacing w:after="200" w:line="276" w:lineRule="auto"/>
      <w:jc w:val="left"/>
    </w:pPr>
    <w:rPr>
      <w:rFonts w:ascii="Calibri" w:hAnsi="Calibri"/>
      <w:color w:val="auto"/>
      <w:szCs w:val="23"/>
      <w:lang w:eastAsia="nl-NL"/>
    </w:rPr>
  </w:style>
  <w:style w:type="paragraph" w:customStyle="1" w:styleId="HalveregelIVM">
    <w:name w:val="Halve regel IVM"/>
    <w:aliases w:val="Half-line spacing IVM"/>
    <w:basedOn w:val="Normal"/>
    <w:next w:val="Normal"/>
    <w:uiPriority w:val="99"/>
    <w:rsid w:val="00DF751F"/>
    <w:pPr>
      <w:suppressAutoHyphens w:val="0"/>
      <w:spacing w:after="200" w:line="120" w:lineRule="exact"/>
      <w:jc w:val="left"/>
    </w:pPr>
    <w:rPr>
      <w:rFonts w:ascii="LucidaSansEF" w:hAnsi="LucidaSansEF"/>
      <w:color w:val="auto"/>
      <w:sz w:val="21"/>
      <w:szCs w:val="23"/>
      <w:lang w:eastAsia="nl-NL"/>
    </w:rPr>
  </w:style>
  <w:style w:type="paragraph" w:customStyle="1" w:styleId="CaptionFigure">
    <w:name w:val="Caption Figure"/>
    <w:basedOn w:val="Caption"/>
    <w:next w:val="Normal"/>
    <w:uiPriority w:val="99"/>
    <w:rsid w:val="00DF751F"/>
    <w:pPr>
      <w:pBdr>
        <w:top w:val="none" w:sz="0" w:space="0" w:color="auto"/>
        <w:left w:val="none" w:sz="0" w:space="0" w:color="auto"/>
        <w:bottom w:val="none" w:sz="0" w:space="0" w:color="auto"/>
        <w:right w:val="none" w:sz="0" w:space="0" w:color="auto"/>
      </w:pBdr>
      <w:shd w:val="clear" w:color="auto" w:fill="auto"/>
      <w:tabs>
        <w:tab w:val="left" w:pos="1134"/>
      </w:tabs>
      <w:suppressAutoHyphens w:val="0"/>
      <w:spacing w:before="0" w:afterLines="150" w:line="360" w:lineRule="auto"/>
      <w:ind w:left="1134" w:right="0" w:hanging="1134"/>
      <w:jc w:val="left"/>
    </w:pPr>
    <w:rPr>
      <w:rFonts w:ascii="Calibri" w:hAnsi="Calibri"/>
      <w:bCs/>
      <w:i/>
      <w:color w:val="auto"/>
      <w:sz w:val="22"/>
      <w:szCs w:val="23"/>
      <w:lang w:eastAsia="nl-NL"/>
    </w:rPr>
  </w:style>
  <w:style w:type="paragraph" w:customStyle="1" w:styleId="CaptionTable">
    <w:name w:val="Caption Table"/>
    <w:basedOn w:val="Normal"/>
    <w:next w:val="Normal"/>
    <w:uiPriority w:val="99"/>
    <w:rsid w:val="00DF751F"/>
    <w:pPr>
      <w:tabs>
        <w:tab w:val="left" w:pos="1134"/>
      </w:tabs>
      <w:suppressAutoHyphens w:val="0"/>
      <w:spacing w:beforeLines="150" w:afterLines="100" w:line="276" w:lineRule="auto"/>
      <w:ind w:left="1134" w:hanging="1134"/>
      <w:jc w:val="left"/>
    </w:pPr>
    <w:rPr>
      <w:rFonts w:ascii="Calibri" w:hAnsi="Calibri"/>
      <w:i/>
      <w:color w:val="auto"/>
      <w:szCs w:val="23"/>
      <w:lang w:eastAsia="nl-NL"/>
    </w:rPr>
  </w:style>
  <w:style w:type="paragraph" w:customStyle="1" w:styleId="Authorchapter">
    <w:name w:val="Author chapter"/>
    <w:basedOn w:val="Normal"/>
    <w:next w:val="Normal"/>
    <w:uiPriority w:val="99"/>
    <w:rsid w:val="00DF751F"/>
    <w:pPr>
      <w:suppressAutoHyphens w:val="0"/>
      <w:spacing w:afterLines="300" w:line="276" w:lineRule="auto"/>
      <w:ind w:left="737"/>
      <w:jc w:val="left"/>
    </w:pPr>
    <w:rPr>
      <w:rFonts w:ascii="Calibri" w:hAnsi="Calibri"/>
      <w:i/>
      <w:color w:val="auto"/>
      <w:sz w:val="28"/>
      <w:szCs w:val="22"/>
      <w:lang w:eastAsia="en-US"/>
    </w:rPr>
  </w:style>
  <w:style w:type="paragraph" w:customStyle="1" w:styleId="Half-linespacing">
    <w:name w:val="Half-line spacing"/>
    <w:basedOn w:val="Normal"/>
    <w:next w:val="Normal"/>
    <w:uiPriority w:val="99"/>
    <w:rsid w:val="00DF751F"/>
    <w:pPr>
      <w:suppressAutoHyphens w:val="0"/>
      <w:spacing w:after="200" w:line="120" w:lineRule="exact"/>
      <w:jc w:val="left"/>
    </w:pPr>
    <w:rPr>
      <w:rFonts w:ascii="Calibri" w:hAnsi="Calibri"/>
      <w:color w:val="auto"/>
      <w:sz w:val="21"/>
      <w:szCs w:val="23"/>
      <w:lang w:eastAsia="nl-NL"/>
    </w:rPr>
  </w:style>
  <w:style w:type="character" w:styleId="BookTitle">
    <w:name w:val="Book Title"/>
    <w:uiPriority w:val="99"/>
    <w:qFormat/>
    <w:rsid w:val="00DF751F"/>
    <w:rPr>
      <w:b/>
      <w:smallCaps/>
      <w:spacing w:val="5"/>
    </w:rPr>
  </w:style>
  <w:style w:type="paragraph" w:customStyle="1" w:styleId="Authors">
    <w:name w:val="Authors"/>
    <w:basedOn w:val="NormalIndent"/>
    <w:uiPriority w:val="99"/>
    <w:rsid w:val="00DF751F"/>
    <w:rPr>
      <w:sz w:val="24"/>
    </w:rPr>
  </w:style>
  <w:style w:type="table" w:customStyle="1" w:styleId="57">
    <w:name w:val="57"/>
    <w:uiPriority w:val="99"/>
    <w:rsid w:val="002F3ACC"/>
    <w:pPr>
      <w:widowControl w:val="0"/>
      <w:autoSpaceDE w:val="0"/>
      <w:autoSpaceDN w:val="0"/>
      <w:adjustRightInd w:val="0"/>
    </w:pPr>
    <w:rPr>
      <w:sz w:val="24"/>
      <w:szCs w:val="24"/>
      <w:lang w:val="en-IE" w:eastAsia="en-GB"/>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Boxtext">
    <w:name w:val="Box text"/>
    <w:basedOn w:val="Normal"/>
    <w:uiPriority w:val="99"/>
    <w:rsid w:val="00DF751F"/>
    <w:pPr>
      <w:suppressAutoHyphens w:val="0"/>
      <w:spacing w:after="200" w:line="264" w:lineRule="auto"/>
      <w:jc w:val="left"/>
    </w:pPr>
    <w:rPr>
      <w:rFonts w:ascii="Calibri" w:hAnsi="Calibri"/>
      <w:color w:val="auto"/>
      <w:szCs w:val="24"/>
      <w:lang w:val="en-US" w:eastAsia="en-US"/>
    </w:rPr>
  </w:style>
  <w:style w:type="paragraph" w:customStyle="1" w:styleId="CaptionBox">
    <w:name w:val="Caption Box"/>
    <w:basedOn w:val="CaptionTable"/>
    <w:next w:val="Normal"/>
    <w:uiPriority w:val="99"/>
    <w:rsid w:val="00DF751F"/>
    <w:pPr>
      <w:tabs>
        <w:tab w:val="clear" w:pos="1134"/>
        <w:tab w:val="left" w:pos="964"/>
      </w:tabs>
      <w:spacing w:beforeLines="0" w:afterLines="0"/>
      <w:ind w:left="964" w:hanging="964"/>
    </w:pPr>
  </w:style>
  <w:style w:type="paragraph" w:customStyle="1" w:styleId="NormalIndent1">
    <w:name w:val="Normal Indent1"/>
    <w:basedOn w:val="Normal"/>
    <w:uiPriority w:val="99"/>
    <w:rsid w:val="00DF751F"/>
    <w:pPr>
      <w:suppressAutoHyphens w:val="0"/>
      <w:spacing w:after="200" w:line="276" w:lineRule="auto"/>
      <w:ind w:firstLine="340"/>
      <w:jc w:val="left"/>
    </w:pPr>
    <w:rPr>
      <w:rFonts w:ascii="Calibri" w:hAnsi="Calibri"/>
      <w:color w:val="auto"/>
      <w:szCs w:val="22"/>
      <w:lang w:eastAsia="en-US"/>
    </w:rPr>
  </w:style>
  <w:style w:type="table" w:customStyle="1" w:styleId="LightShading1">
    <w:name w:val="Light Shading1"/>
    <w:uiPriority w:val="99"/>
    <w:rsid w:val="00DF751F"/>
    <w:rPr>
      <w:rFonts w:ascii="Calibri" w:hAnsi="Calibri"/>
      <w:color w:val="434343"/>
      <w:sz w:val="21"/>
      <w:lang w:val="en-GB" w:eastAsia="en-GB"/>
    </w:rPr>
    <w:tblPr>
      <w:tblStyleRowBandSize w:val="1"/>
      <w:tblStyleColBandSize w:val="1"/>
      <w:tblInd w:w="0" w:type="dxa"/>
      <w:tblBorders>
        <w:top w:val="single" w:sz="8" w:space="0" w:color="5A5A5A"/>
        <w:bottom w:val="double" w:sz="4" w:space="0" w:color="auto"/>
      </w:tblBorders>
      <w:tblCellMar>
        <w:top w:w="0" w:type="dxa"/>
        <w:left w:w="108" w:type="dxa"/>
        <w:bottom w:w="0" w:type="dxa"/>
        <w:right w:w="108" w:type="dxa"/>
      </w:tblCellMar>
    </w:tblPr>
  </w:style>
  <w:style w:type="table" w:customStyle="1" w:styleId="TableCUP2">
    <w:name w:val="Table CUP2"/>
    <w:uiPriority w:val="99"/>
    <w:rsid w:val="00DF751F"/>
    <w:rPr>
      <w:rFonts w:ascii="Calibri" w:hAnsi="Calibri"/>
      <w:color w:val="434343"/>
      <w:sz w:val="21"/>
      <w:lang w:val="en-GB" w:eastAsia="en-GB"/>
    </w:rPr>
    <w:tblPr>
      <w:tblStyleRowBandSize w:val="1"/>
      <w:tblStyleColBandSize w:val="1"/>
      <w:tblInd w:w="0" w:type="dxa"/>
      <w:tblBorders>
        <w:top w:val="single" w:sz="8" w:space="0" w:color="5A5A5A"/>
        <w:bottom w:val="double" w:sz="4" w:space="0" w:color="auto"/>
      </w:tblBorders>
      <w:tblCellMar>
        <w:top w:w="0" w:type="dxa"/>
        <w:left w:w="108" w:type="dxa"/>
        <w:bottom w:w="0" w:type="dxa"/>
        <w:right w:w="108" w:type="dxa"/>
      </w:tblCellMar>
    </w:tblPr>
  </w:style>
  <w:style w:type="paragraph" w:customStyle="1" w:styleId="Boxbullet">
    <w:name w:val="Box bullet"/>
    <w:basedOn w:val="Listbullet1stlevel"/>
    <w:uiPriority w:val="99"/>
    <w:rsid w:val="00DF751F"/>
    <w:pPr>
      <w:numPr>
        <w:numId w:val="0"/>
      </w:numPr>
      <w:tabs>
        <w:tab w:val="clear" w:pos="284"/>
      </w:tabs>
      <w:spacing w:line="264" w:lineRule="auto"/>
      <w:ind w:right="113"/>
    </w:pPr>
    <w:rPr>
      <w:lang w:val="en-US"/>
    </w:rPr>
  </w:style>
  <w:style w:type="paragraph" w:customStyle="1" w:styleId="Boxtextindent">
    <w:name w:val="Box text indent"/>
    <w:basedOn w:val="Boxtext"/>
    <w:uiPriority w:val="99"/>
    <w:rsid w:val="00DF751F"/>
    <w:pPr>
      <w:ind w:firstLine="340"/>
    </w:pPr>
  </w:style>
  <w:style w:type="paragraph" w:styleId="NormalWeb">
    <w:name w:val="Normal (Web)"/>
    <w:basedOn w:val="Normal"/>
    <w:uiPriority w:val="99"/>
    <w:rsid w:val="00DF751F"/>
    <w:pPr>
      <w:suppressAutoHyphens w:val="0"/>
      <w:spacing w:before="100" w:beforeAutospacing="1" w:after="100" w:afterAutospacing="1" w:line="240" w:lineRule="auto"/>
      <w:jc w:val="left"/>
    </w:pPr>
    <w:rPr>
      <w:rFonts w:ascii="Times New Roman" w:hAnsi="Times New Roman"/>
      <w:color w:val="000000"/>
      <w:sz w:val="24"/>
      <w:szCs w:val="24"/>
      <w:lang w:val="en-US" w:eastAsia="en-US"/>
    </w:rPr>
  </w:style>
  <w:style w:type="paragraph" w:customStyle="1" w:styleId="BodytextAquamoney">
    <w:name w:val="Bodytext Aquamoney"/>
    <w:basedOn w:val="Normal"/>
    <w:uiPriority w:val="99"/>
    <w:rsid w:val="00DF751F"/>
    <w:pPr>
      <w:suppressAutoHyphens w:val="0"/>
      <w:spacing w:after="200" w:line="260" w:lineRule="atLeast"/>
      <w:jc w:val="left"/>
    </w:pPr>
    <w:rPr>
      <w:rFonts w:ascii="Futura-Normal" w:hAnsi="Futura-Normal"/>
      <w:color w:val="auto"/>
      <w:sz w:val="18"/>
      <w:szCs w:val="22"/>
      <w:lang w:eastAsia="nl-NL"/>
    </w:rPr>
  </w:style>
  <w:style w:type="paragraph" w:customStyle="1" w:styleId="Rvision">
    <w:name w:val="Révision"/>
    <w:hidden/>
    <w:uiPriority w:val="99"/>
    <w:semiHidden/>
    <w:rsid w:val="00427934"/>
    <w:rPr>
      <w:rFonts w:ascii="Arial" w:hAnsi="Arial"/>
      <w:sz w:val="22"/>
      <w:szCs w:val="24"/>
      <w:lang w:val="en-IE" w:eastAsia="en-GB"/>
    </w:rPr>
  </w:style>
  <w:style w:type="paragraph" w:styleId="BodyText2">
    <w:name w:val="Body Text 2"/>
    <w:basedOn w:val="Normal"/>
    <w:link w:val="BodyText2Char"/>
    <w:uiPriority w:val="99"/>
    <w:rsid w:val="00C637E3"/>
    <w:pPr>
      <w:suppressAutoHyphens w:val="0"/>
      <w:spacing w:after="0" w:line="240" w:lineRule="auto"/>
    </w:pPr>
    <w:rPr>
      <w:rFonts w:ascii="Times" w:hAnsi="Times"/>
      <w:color w:val="auto"/>
    </w:rPr>
  </w:style>
  <w:style w:type="character" w:customStyle="1" w:styleId="BodyText2Char">
    <w:name w:val="Body Text 2 Char"/>
    <w:link w:val="BodyText2"/>
    <w:uiPriority w:val="99"/>
    <w:locked/>
    <w:rsid w:val="00C637E3"/>
    <w:rPr>
      <w:rFonts w:ascii="Times" w:hAnsi="Times"/>
      <w:sz w:val="22"/>
      <w:lang w:val="en-GB"/>
    </w:rPr>
  </w:style>
  <w:style w:type="character" w:customStyle="1" w:styleId="ReferentiecursiefIVM">
    <w:name w:val="Referentie cursief IVM"/>
    <w:aliases w:val="Reference italic IVM"/>
    <w:uiPriority w:val="99"/>
    <w:rsid w:val="00C637E3"/>
    <w:rPr>
      <w:rFonts w:ascii="LucidaSansEF" w:hAnsi="LucidaSansEF"/>
      <w:i/>
      <w:sz w:val="20"/>
    </w:rPr>
  </w:style>
  <w:style w:type="character" w:styleId="Emphasis">
    <w:name w:val="Emphasis"/>
    <w:uiPriority w:val="99"/>
    <w:qFormat/>
    <w:rsid w:val="00C637E3"/>
    <w:rPr>
      <w:rFonts w:cs="Times New Roman"/>
      <w:i/>
      <w:sz w:val="24"/>
      <w:bdr w:val="none" w:sz="0" w:space="0" w:color="auto" w:frame="1"/>
      <w:vertAlign w:val="baseline"/>
    </w:rPr>
  </w:style>
  <w:style w:type="character" w:styleId="PlaceholderText">
    <w:name w:val="Placeholder Text"/>
    <w:uiPriority w:val="99"/>
    <w:rsid w:val="00C637E3"/>
    <w:rPr>
      <w:color w:val="808080"/>
    </w:rPr>
  </w:style>
  <w:style w:type="paragraph" w:styleId="Revision">
    <w:name w:val="Revision"/>
    <w:hidden/>
    <w:uiPriority w:val="99"/>
    <w:semiHidden/>
    <w:rsid w:val="006A03E4"/>
    <w:rPr>
      <w:rFonts w:ascii="Calibri" w:hAnsi="Calibri"/>
      <w:sz w:val="22"/>
      <w:szCs w:val="22"/>
    </w:rPr>
  </w:style>
  <w:style w:type="paragraph" w:customStyle="1" w:styleId="ti-doc-eph">
    <w:name w:val="ti-doc-eph"/>
    <w:basedOn w:val="Normal"/>
    <w:uiPriority w:val="99"/>
    <w:rsid w:val="006A03E4"/>
    <w:pPr>
      <w:suppressAutoHyphens w:val="0"/>
      <w:spacing w:before="100" w:beforeAutospacing="1" w:after="100" w:afterAutospacing="1" w:line="240" w:lineRule="auto"/>
      <w:jc w:val="left"/>
    </w:pPr>
    <w:rPr>
      <w:rFonts w:ascii="Times New Roman" w:hAnsi="Times New Roman"/>
      <w:color w:val="auto"/>
      <w:sz w:val="24"/>
      <w:szCs w:val="24"/>
    </w:rPr>
  </w:style>
  <w:style w:type="table" w:customStyle="1" w:styleId="IEEPStandard">
    <w:name w:val="IEEP Standard"/>
    <w:uiPriority w:val="99"/>
    <w:rsid w:val="008506B2"/>
    <w:pPr>
      <w:contextualSpacing/>
    </w:pPr>
    <w:rPr>
      <w:rFonts w:ascii="Calibri" w:hAnsi="Calibri"/>
      <w:lang w:val="en-GB" w:eastAsia="en-IE"/>
    </w:rPr>
    <w:tblPr>
      <w:tblInd w:w="0" w:type="dxa"/>
      <w:tblBorders>
        <w:top w:val="single" w:sz="12" w:space="0" w:color="2A3C22"/>
        <w:left w:val="single" w:sz="12" w:space="0" w:color="2A3C22"/>
        <w:bottom w:val="single" w:sz="12" w:space="0" w:color="2A3C22"/>
        <w:right w:val="single" w:sz="12" w:space="0" w:color="2A3C22"/>
        <w:insideH w:val="single" w:sz="8" w:space="0" w:color="2A3C22"/>
        <w:insideV w:val="single" w:sz="8" w:space="0" w:color="2A3C22"/>
      </w:tblBorders>
      <w:tblCellMar>
        <w:top w:w="0" w:type="dxa"/>
        <w:left w:w="108" w:type="dxa"/>
        <w:bottom w:w="0" w:type="dxa"/>
        <w:right w:w="108" w:type="dxa"/>
      </w:tblCellMar>
    </w:tbl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link w:val="Caption"/>
    <w:uiPriority w:val="99"/>
    <w:locked/>
    <w:rsid w:val="008506B2"/>
    <w:rPr>
      <w:rFonts w:ascii="Arial" w:hAnsi="Arial"/>
      <w:color w:val="404040"/>
      <w:shd w:val="clear" w:color="auto" w:fill="F2F2F2"/>
      <w:lang w:val="en-GB" w:eastAsia="en-GB"/>
    </w:rPr>
  </w:style>
  <w:style w:type="paragraph" w:styleId="EndnoteText">
    <w:name w:val="endnote text"/>
    <w:basedOn w:val="Normal"/>
    <w:link w:val="EndnoteTextChar"/>
    <w:uiPriority w:val="99"/>
    <w:rsid w:val="008506B2"/>
    <w:pPr>
      <w:suppressAutoHyphens w:val="0"/>
      <w:spacing w:after="0" w:line="240" w:lineRule="auto"/>
      <w:jc w:val="left"/>
    </w:pPr>
    <w:rPr>
      <w:rFonts w:ascii="Calibri" w:hAnsi="Calibri"/>
      <w:color w:val="auto"/>
      <w:sz w:val="20"/>
    </w:rPr>
  </w:style>
  <w:style w:type="character" w:customStyle="1" w:styleId="EndnoteTextChar">
    <w:name w:val="Endnote Text Char"/>
    <w:link w:val="EndnoteText"/>
    <w:uiPriority w:val="99"/>
    <w:locked/>
    <w:rsid w:val="008506B2"/>
    <w:rPr>
      <w:rFonts w:ascii="Calibri" w:hAnsi="Calibri"/>
      <w:lang w:val="en-GB"/>
    </w:rPr>
  </w:style>
  <w:style w:type="character" w:customStyle="1" w:styleId="A7">
    <w:name w:val="A7"/>
    <w:uiPriority w:val="99"/>
    <w:rsid w:val="008506B2"/>
    <w:rPr>
      <w:color w:val="000000"/>
      <w:sz w:val="19"/>
    </w:rPr>
  </w:style>
  <w:style w:type="character" w:styleId="Strong">
    <w:name w:val="Strong"/>
    <w:uiPriority w:val="99"/>
    <w:qFormat/>
    <w:rsid w:val="008506B2"/>
    <w:rPr>
      <w:rFonts w:cs="Times New Roman"/>
      <w:b/>
    </w:rPr>
  </w:style>
  <w:style w:type="character" w:styleId="HTMLCite">
    <w:name w:val="HTML Cite"/>
    <w:uiPriority w:val="99"/>
    <w:semiHidden/>
    <w:locked/>
    <w:rsid w:val="00E55058"/>
    <w:rPr>
      <w:rFonts w:cs="Times New Roman"/>
      <w:i/>
    </w:rPr>
  </w:style>
  <w:style w:type="character" w:styleId="LineNumber">
    <w:name w:val="line number"/>
    <w:uiPriority w:val="99"/>
    <w:semiHidden/>
    <w:locked/>
    <w:rsid w:val="00E55058"/>
    <w:rPr>
      <w:rFonts w:cs="Times New Roman"/>
    </w:rPr>
  </w:style>
  <w:style w:type="character" w:customStyle="1" w:styleId="pagecontents1">
    <w:name w:val="pagecontents1"/>
    <w:uiPriority w:val="99"/>
    <w:rsid w:val="00E55058"/>
    <w:rPr>
      <w:rFonts w:ascii="Arial" w:hAnsi="Arial"/>
      <w:color w:val="000000"/>
      <w:sz w:val="18"/>
    </w:rPr>
  </w:style>
  <w:style w:type="table" w:customStyle="1" w:styleId="LightList1">
    <w:name w:val="Light List1"/>
    <w:uiPriority w:val="99"/>
    <w:rsid w:val="00E55058"/>
    <w:rPr>
      <w:rFonts w:ascii="Arial" w:hAnsi="Arial"/>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tblBorders>
      <w:tblCellMar>
        <w:top w:w="0" w:type="dxa"/>
        <w:left w:w="108" w:type="dxa"/>
        <w:bottom w:w="0" w:type="dxa"/>
        <w:right w:w="108" w:type="dxa"/>
      </w:tblCellMar>
    </w:tblPr>
  </w:style>
  <w:style w:type="paragraph" w:styleId="Quote">
    <w:name w:val="Quote"/>
    <w:basedOn w:val="Normal"/>
    <w:next w:val="Normal"/>
    <w:link w:val="QuoteChar"/>
    <w:uiPriority w:val="99"/>
    <w:qFormat/>
    <w:rsid w:val="00E55058"/>
    <w:pPr>
      <w:suppressAutoHyphens w:val="0"/>
      <w:spacing w:after="200" w:line="276" w:lineRule="auto"/>
      <w:jc w:val="left"/>
    </w:pPr>
    <w:rPr>
      <w:i/>
      <w:iCs/>
      <w:color w:val="58595B"/>
      <w:szCs w:val="22"/>
      <w:lang w:val="en-US" w:eastAsia="en-US"/>
    </w:rPr>
  </w:style>
  <w:style w:type="character" w:customStyle="1" w:styleId="QuoteChar">
    <w:name w:val="Quote Char"/>
    <w:link w:val="Quote"/>
    <w:uiPriority w:val="99"/>
    <w:locked/>
    <w:rsid w:val="00E55058"/>
    <w:rPr>
      <w:rFonts w:ascii="Arial" w:hAnsi="Arial"/>
      <w:i/>
      <w:color w:val="58595B"/>
      <w:sz w:val="22"/>
      <w:lang w:val="en-US" w:eastAsia="en-US"/>
    </w:rPr>
  </w:style>
  <w:style w:type="paragraph" w:styleId="IntenseQuote">
    <w:name w:val="Intense Quote"/>
    <w:basedOn w:val="Normal"/>
    <w:next w:val="Normal"/>
    <w:link w:val="IntenseQuoteChar"/>
    <w:uiPriority w:val="99"/>
    <w:qFormat/>
    <w:rsid w:val="00E55058"/>
    <w:pPr>
      <w:pBdr>
        <w:bottom w:val="single" w:sz="4" w:space="4" w:color="683A76"/>
      </w:pBdr>
      <w:suppressAutoHyphens w:val="0"/>
      <w:spacing w:before="200" w:after="280" w:line="276" w:lineRule="auto"/>
      <w:ind w:left="936" w:right="936"/>
      <w:jc w:val="left"/>
    </w:pPr>
    <w:rPr>
      <w:b/>
      <w:bCs/>
      <w:i/>
      <w:iCs/>
      <w:color w:val="683A76"/>
      <w:szCs w:val="22"/>
      <w:lang w:val="en-US" w:eastAsia="en-US"/>
    </w:rPr>
  </w:style>
  <w:style w:type="character" w:customStyle="1" w:styleId="IntenseQuoteChar">
    <w:name w:val="Intense Quote Char"/>
    <w:link w:val="IntenseQuote"/>
    <w:uiPriority w:val="99"/>
    <w:locked/>
    <w:rsid w:val="00E55058"/>
    <w:rPr>
      <w:rFonts w:ascii="Arial" w:hAnsi="Arial"/>
      <w:b/>
      <w:i/>
      <w:color w:val="683A76"/>
      <w:sz w:val="22"/>
      <w:lang w:val="en-US" w:eastAsia="en-US"/>
    </w:rPr>
  </w:style>
  <w:style w:type="table" w:customStyle="1" w:styleId="LightList2">
    <w:name w:val="Light List2"/>
    <w:uiPriority w:val="99"/>
    <w:rsid w:val="00E55058"/>
    <w:rPr>
      <w:rFonts w:ascii="Arial" w:hAnsi="Arial"/>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tblBorders>
      <w:tblCellMar>
        <w:top w:w="0" w:type="dxa"/>
        <w:left w:w="108" w:type="dxa"/>
        <w:bottom w:w="0" w:type="dxa"/>
        <w:right w:w="108" w:type="dxa"/>
      </w:tblCellMar>
    </w:tblPr>
  </w:style>
  <w:style w:type="table" w:customStyle="1" w:styleId="MediumGrid21">
    <w:name w:val="Medium Grid 21"/>
    <w:uiPriority w:val="99"/>
    <w:rsid w:val="00E55058"/>
    <w:rPr>
      <w:rFonts w:ascii="Arial" w:hAnsi="Arial"/>
      <w:color w:val="58595B"/>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CellMar>
        <w:top w:w="0" w:type="dxa"/>
        <w:left w:w="108" w:type="dxa"/>
        <w:bottom w:w="0" w:type="dxa"/>
        <w:right w:w="108" w:type="dxa"/>
      </w:tblCellMar>
    </w:tblPr>
    <w:tcPr>
      <w:shd w:val="clear" w:color="auto" w:fill="D5D5D6"/>
    </w:tcPr>
  </w:style>
  <w:style w:type="table" w:styleId="LightShading">
    <w:name w:val="Light Shading"/>
    <w:basedOn w:val="TableNormal"/>
    <w:uiPriority w:val="99"/>
    <w:rsid w:val="00E55058"/>
    <w:rPr>
      <w:rFonts w:ascii="Arial" w:hAnsi="Arial"/>
      <w:color w:val="424244"/>
    </w:rPr>
    <w:tblPr>
      <w:tblStyleRowBandSize w:val="1"/>
      <w:tblStyleColBandSize w:val="1"/>
      <w:tblBorders>
        <w:top w:val="single" w:sz="8" w:space="0" w:color="58595B"/>
        <w:bottom w:val="single" w:sz="8" w:space="0" w:color="58595B"/>
      </w:tblBorders>
    </w:tblPr>
    <w:tblStylePr w:type="firstRow">
      <w:pPr>
        <w:spacing w:before="0" w:after="0"/>
      </w:pPr>
      <w:rPr>
        <w:rFonts w:cs="Times New Roman"/>
        <w:b/>
        <w:bCs/>
      </w:rPr>
      <w:tblPr/>
      <w:tcPr>
        <w:tcBorders>
          <w:top w:val="single" w:sz="8" w:space="0" w:color="58595B"/>
          <w:left w:val="nil"/>
          <w:bottom w:val="single" w:sz="8" w:space="0" w:color="58595B"/>
          <w:right w:val="nil"/>
          <w:insideH w:val="nil"/>
          <w:insideV w:val="nil"/>
        </w:tcBorders>
      </w:tcPr>
    </w:tblStylePr>
    <w:tblStylePr w:type="lastRow">
      <w:pPr>
        <w:spacing w:before="0" w:after="0"/>
      </w:pPr>
      <w:rPr>
        <w:rFonts w:cs="Times New Roman"/>
        <w:b/>
        <w:bCs/>
      </w:rPr>
      <w:tblPr/>
      <w:tcPr>
        <w:tcBorders>
          <w:top w:val="single" w:sz="8" w:space="0" w:color="58595B"/>
          <w:left w:val="nil"/>
          <w:bottom w:val="single" w:sz="8" w:space="0" w:color="58595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5D5D6"/>
      </w:tcPr>
    </w:tblStylePr>
    <w:tblStylePr w:type="band1Horz">
      <w:rPr>
        <w:rFonts w:cs="Times New Roman"/>
      </w:rPr>
      <w:tblPr/>
      <w:tcPr>
        <w:tcBorders>
          <w:left w:val="nil"/>
          <w:right w:val="nil"/>
          <w:insideH w:val="nil"/>
          <w:insideV w:val="nil"/>
        </w:tcBorders>
        <w:shd w:val="clear" w:color="auto" w:fill="D5D5D6"/>
      </w:tcPr>
    </w:tblStylePr>
  </w:style>
  <w:style w:type="paragraph" w:styleId="HTMLPreformatted">
    <w:name w:val="HTML Preformatted"/>
    <w:basedOn w:val="Normal"/>
    <w:link w:val="HTMLPreformattedChar"/>
    <w:uiPriority w:val="99"/>
    <w:semiHidden/>
    <w:locked/>
    <w:rsid w:val="00E55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color w:val="auto"/>
      <w:sz w:val="20"/>
      <w:lang w:val="nl-NL" w:eastAsia="nl-NL"/>
    </w:rPr>
  </w:style>
  <w:style w:type="character" w:customStyle="1" w:styleId="HTMLPreformattedChar">
    <w:name w:val="HTML Preformatted Char"/>
    <w:link w:val="HTMLPreformatted"/>
    <w:uiPriority w:val="99"/>
    <w:semiHidden/>
    <w:locked/>
    <w:rsid w:val="00E55058"/>
    <w:rPr>
      <w:rFonts w:ascii="Courier New" w:hAnsi="Courier New"/>
      <w:lang w:val="nl-NL" w:eastAsia="nl-NL"/>
    </w:rPr>
  </w:style>
  <w:style w:type="character" w:customStyle="1" w:styleId="slug-doi">
    <w:name w:val="slug-doi"/>
    <w:uiPriority w:val="99"/>
    <w:rsid w:val="00E55058"/>
  </w:style>
  <w:style w:type="paragraph" w:styleId="NoSpacing">
    <w:name w:val="No Spacing"/>
    <w:uiPriority w:val="99"/>
    <w:qFormat/>
    <w:rsid w:val="00E55058"/>
    <w:rPr>
      <w:rFonts w:ascii="Calibri" w:hAnsi="Calibri"/>
      <w:sz w:val="22"/>
      <w:szCs w:val="22"/>
      <w:lang w:val="en-IE"/>
    </w:rPr>
  </w:style>
  <w:style w:type="paragraph" w:customStyle="1" w:styleId="EndNoteBibliography">
    <w:name w:val="EndNote Bibliography"/>
    <w:basedOn w:val="Normal"/>
    <w:link w:val="EndNoteBibliographyZchn"/>
    <w:uiPriority w:val="99"/>
    <w:rsid w:val="00A75D5D"/>
    <w:pPr>
      <w:suppressAutoHyphens w:val="0"/>
      <w:spacing w:after="200" w:line="240" w:lineRule="auto"/>
      <w:jc w:val="left"/>
    </w:pPr>
    <w:rPr>
      <w:rFonts w:ascii="Calibri" w:hAnsi="Calibri"/>
      <w:noProof/>
      <w:color w:val="auto"/>
      <w:szCs w:val="22"/>
      <w:lang w:val="en-US" w:eastAsia="en-US"/>
    </w:rPr>
  </w:style>
  <w:style w:type="character" w:customStyle="1" w:styleId="EndNoteBibliographyZchn">
    <w:name w:val="EndNote Bibliography Zchn"/>
    <w:link w:val="EndNoteBibliography"/>
    <w:uiPriority w:val="99"/>
    <w:locked/>
    <w:rsid w:val="00A75D5D"/>
    <w:rPr>
      <w:rFonts w:ascii="Calibri" w:hAnsi="Calibri"/>
      <w:noProof/>
      <w:sz w:val="22"/>
      <w:lang w:val="en-US" w:eastAsia="en-US"/>
    </w:rPr>
  </w:style>
  <w:style w:type="numbering" w:customStyle="1" w:styleId="OpsommingletterIVM">
    <w:name w:val="Opsomming letter IVM"/>
    <w:aliases w:val="List character IVM"/>
    <w:rsid w:val="00350FFE"/>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23376"/>
    <w:pPr>
      <w:suppressAutoHyphens/>
      <w:spacing w:after="40" w:line="300" w:lineRule="auto"/>
      <w:jc w:val="both"/>
    </w:pPr>
    <w:rPr>
      <w:rFonts w:ascii="Arial" w:hAnsi="Arial"/>
      <w:color w:val="333333"/>
      <w:sz w:val="22"/>
      <w:lang w:val="en-GB" w:eastAsia="en-GB"/>
    </w:rPr>
  </w:style>
  <w:style w:type="paragraph" w:styleId="Heading1">
    <w:name w:val="heading 1"/>
    <w:aliases w:val="Heading 1 Aquamoney,Hoofdstuktitel"/>
    <w:basedOn w:val="Normal"/>
    <w:next w:val="Normal"/>
    <w:link w:val="Heading1Char"/>
    <w:autoRedefine/>
    <w:uiPriority w:val="99"/>
    <w:qFormat/>
    <w:rsid w:val="00BD5483"/>
    <w:pPr>
      <w:keepNext/>
      <w:pageBreakBefore/>
      <w:numPr>
        <w:numId w:val="25"/>
      </w:numPr>
      <w:tabs>
        <w:tab w:val="left" w:pos="851"/>
      </w:tabs>
      <w:spacing w:before="120" w:after="240" w:line="240" w:lineRule="auto"/>
      <w:ind w:left="851" w:hanging="851"/>
      <w:jc w:val="left"/>
      <w:outlineLvl w:val="0"/>
    </w:pPr>
    <w:rPr>
      <w:rFonts w:ascii="Arial Bold" w:hAnsi="Arial Bold"/>
      <w:b/>
      <w:color w:val="008080"/>
      <w:sz w:val="40"/>
      <w:szCs w:val="40"/>
    </w:rPr>
  </w:style>
  <w:style w:type="paragraph" w:styleId="Heading2">
    <w:name w:val="heading 2"/>
    <w:aliases w:val="Heading 2 Aquamoney,Paragraafkop"/>
    <w:basedOn w:val="Normal"/>
    <w:next w:val="Normal"/>
    <w:link w:val="Heading2Char"/>
    <w:uiPriority w:val="99"/>
    <w:qFormat/>
    <w:rsid w:val="001F1492"/>
    <w:pPr>
      <w:keepNext/>
      <w:numPr>
        <w:ilvl w:val="1"/>
        <w:numId w:val="25"/>
      </w:numPr>
      <w:spacing w:after="60"/>
      <w:ind w:left="851" w:hanging="851"/>
      <w:jc w:val="left"/>
      <w:outlineLvl w:val="1"/>
    </w:pPr>
    <w:rPr>
      <w:b/>
      <w:color w:val="9C9C9C"/>
      <w:sz w:val="36"/>
    </w:rPr>
  </w:style>
  <w:style w:type="paragraph" w:styleId="Heading3">
    <w:name w:val="heading 3"/>
    <w:aliases w:val="Heading 3 Aquamoney,Subparagraafkop,Kap. 1.1.1."/>
    <w:basedOn w:val="Normal"/>
    <w:next w:val="Normal"/>
    <w:link w:val="Heading3Char"/>
    <w:uiPriority w:val="99"/>
    <w:qFormat/>
    <w:rsid w:val="001B6648"/>
    <w:pPr>
      <w:keepNext/>
      <w:numPr>
        <w:ilvl w:val="2"/>
        <w:numId w:val="25"/>
      </w:numPr>
      <w:spacing w:after="60"/>
      <w:ind w:left="851" w:hanging="851"/>
      <w:jc w:val="left"/>
      <w:outlineLvl w:val="2"/>
    </w:pPr>
    <w:rPr>
      <w:color w:val="547844"/>
      <w:sz w:val="32"/>
    </w:rPr>
  </w:style>
  <w:style w:type="paragraph" w:styleId="Heading4">
    <w:name w:val="heading 4"/>
    <w:aliases w:val="Heading 4 Aquamoney,Subsubparagraafkop,Annex A,Vedlegg A"/>
    <w:basedOn w:val="Normal"/>
    <w:next w:val="Normal"/>
    <w:link w:val="Heading4Char"/>
    <w:uiPriority w:val="99"/>
    <w:qFormat/>
    <w:rsid w:val="00DD4BD2"/>
    <w:pPr>
      <w:keepNext/>
      <w:numPr>
        <w:ilvl w:val="3"/>
        <w:numId w:val="25"/>
      </w:numPr>
      <w:spacing w:after="60"/>
      <w:jc w:val="left"/>
      <w:outlineLvl w:val="3"/>
    </w:pPr>
    <w:rPr>
      <w:color w:val="547844"/>
      <w:sz w:val="28"/>
    </w:rPr>
  </w:style>
  <w:style w:type="paragraph" w:styleId="Heading5">
    <w:name w:val="heading 5"/>
    <w:aliases w:val="Heading (no numbering in index) Aquamoney,Überschrift 5 Char"/>
    <w:basedOn w:val="Normal"/>
    <w:next w:val="Normal"/>
    <w:link w:val="Heading5Char"/>
    <w:uiPriority w:val="99"/>
    <w:qFormat/>
    <w:rsid w:val="00DD4BD2"/>
    <w:pPr>
      <w:keepNext/>
      <w:numPr>
        <w:ilvl w:val="4"/>
        <w:numId w:val="25"/>
      </w:numPr>
      <w:spacing w:after="60"/>
      <w:jc w:val="left"/>
      <w:outlineLvl w:val="4"/>
    </w:pPr>
    <w:rPr>
      <w:b/>
      <w:color w:val="547844"/>
      <w:sz w:val="24"/>
    </w:rPr>
  </w:style>
  <w:style w:type="paragraph" w:styleId="Heading6">
    <w:name w:val="heading 6"/>
    <w:aliases w:val="Appendix 1"/>
    <w:basedOn w:val="Heading1"/>
    <w:next w:val="Normal"/>
    <w:link w:val="Heading6Char"/>
    <w:uiPriority w:val="99"/>
    <w:qFormat/>
    <w:rsid w:val="000554D8"/>
    <w:pPr>
      <w:keepLines/>
      <w:numPr>
        <w:ilvl w:val="5"/>
      </w:numPr>
      <w:spacing w:before="0" w:after="600" w:line="264" w:lineRule="auto"/>
      <w:outlineLvl w:val="5"/>
    </w:pPr>
    <w:rPr>
      <w:rFonts w:ascii="LucidaSansEF" w:hAnsi="LucidaSansEF"/>
      <w:b w:val="0"/>
      <w:color w:val="000000"/>
      <w:sz w:val="32"/>
      <w:lang w:eastAsia="en-US"/>
    </w:rPr>
  </w:style>
  <w:style w:type="paragraph" w:styleId="Heading7">
    <w:name w:val="heading 7"/>
    <w:aliases w:val="Appendix 2"/>
    <w:basedOn w:val="Heading2"/>
    <w:next w:val="Normal"/>
    <w:link w:val="Heading7Char"/>
    <w:uiPriority w:val="99"/>
    <w:qFormat/>
    <w:rsid w:val="000554D8"/>
    <w:pPr>
      <w:keepLines/>
      <w:numPr>
        <w:ilvl w:val="6"/>
      </w:numPr>
      <w:spacing w:before="240" w:after="120" w:line="264" w:lineRule="auto"/>
      <w:outlineLvl w:val="6"/>
    </w:pPr>
    <w:rPr>
      <w:rFonts w:ascii="LucidaSansEF" w:hAnsi="LucidaSansEF"/>
      <w:b w:val="0"/>
      <w:color w:val="auto"/>
      <w:sz w:val="24"/>
      <w:lang w:eastAsia="en-US"/>
    </w:rPr>
  </w:style>
  <w:style w:type="paragraph" w:styleId="Heading8">
    <w:name w:val="heading 8"/>
    <w:aliases w:val="Appendix 3"/>
    <w:basedOn w:val="Heading3"/>
    <w:next w:val="Normal"/>
    <w:link w:val="Heading8Char"/>
    <w:uiPriority w:val="99"/>
    <w:qFormat/>
    <w:rsid w:val="000554D8"/>
    <w:pPr>
      <w:keepLines/>
      <w:numPr>
        <w:ilvl w:val="7"/>
      </w:numPr>
      <w:spacing w:before="240" w:after="120" w:line="264" w:lineRule="auto"/>
      <w:outlineLvl w:val="7"/>
    </w:pPr>
    <w:rPr>
      <w:rFonts w:ascii="LucidaSansEF" w:hAnsi="LucidaSansEF"/>
      <w:color w:val="auto"/>
      <w:sz w:val="24"/>
      <w:lang w:eastAsia="en-US"/>
    </w:rPr>
  </w:style>
  <w:style w:type="paragraph" w:styleId="Heading9">
    <w:name w:val="heading 9"/>
    <w:aliases w:val="Appendix 4"/>
    <w:basedOn w:val="Normal"/>
    <w:next w:val="Normal"/>
    <w:link w:val="Heading9Char"/>
    <w:uiPriority w:val="99"/>
    <w:qFormat/>
    <w:rsid w:val="002F3ACC"/>
    <w:pPr>
      <w:numPr>
        <w:ilvl w:val="8"/>
        <w:numId w:val="25"/>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quamoney Char,Hoofdstuktitel Char"/>
    <w:link w:val="Heading1"/>
    <w:uiPriority w:val="99"/>
    <w:locked/>
    <w:rsid w:val="00BD5483"/>
    <w:rPr>
      <w:rFonts w:ascii="Arial Bold" w:hAnsi="Arial Bold"/>
      <w:b/>
      <w:color w:val="008080"/>
      <w:sz w:val="40"/>
      <w:szCs w:val="40"/>
      <w:lang w:val="en-GB" w:eastAsia="en-GB"/>
    </w:rPr>
  </w:style>
  <w:style w:type="character" w:customStyle="1" w:styleId="Heading2Char">
    <w:name w:val="Heading 2 Char"/>
    <w:aliases w:val="Heading 2 Aquamoney Char,Paragraafkop Char"/>
    <w:link w:val="Heading2"/>
    <w:uiPriority w:val="99"/>
    <w:locked/>
    <w:rsid w:val="001F1492"/>
    <w:rPr>
      <w:rFonts w:ascii="Arial" w:hAnsi="Arial"/>
      <w:b/>
      <w:color w:val="9C9C9C"/>
      <w:sz w:val="36"/>
      <w:szCs w:val="20"/>
      <w:lang w:val="en-GB" w:eastAsia="en-GB"/>
    </w:rPr>
  </w:style>
  <w:style w:type="character" w:customStyle="1" w:styleId="Heading3Char">
    <w:name w:val="Heading 3 Char"/>
    <w:aliases w:val="Heading 3 Aquamoney Char,Subparagraafkop Char,Kap. 1.1.1. Char"/>
    <w:link w:val="Heading3"/>
    <w:uiPriority w:val="99"/>
    <w:locked/>
    <w:rsid w:val="001B6648"/>
    <w:rPr>
      <w:rFonts w:ascii="Arial" w:hAnsi="Arial"/>
      <w:color w:val="547844"/>
      <w:sz w:val="32"/>
      <w:szCs w:val="20"/>
      <w:lang w:val="en-GB" w:eastAsia="en-GB"/>
    </w:rPr>
  </w:style>
  <w:style w:type="character" w:customStyle="1" w:styleId="Heading4Char">
    <w:name w:val="Heading 4 Char"/>
    <w:aliases w:val="Heading 4 Aquamoney Char,Subsubparagraafkop Char,Annex A Char,Vedlegg A Char"/>
    <w:link w:val="Heading4"/>
    <w:uiPriority w:val="99"/>
    <w:locked/>
    <w:rsid w:val="00DF751F"/>
    <w:rPr>
      <w:rFonts w:ascii="Arial" w:hAnsi="Arial"/>
      <w:color w:val="547844"/>
      <w:sz w:val="28"/>
      <w:szCs w:val="20"/>
      <w:lang w:val="en-GB" w:eastAsia="en-GB"/>
    </w:rPr>
  </w:style>
  <w:style w:type="character" w:customStyle="1" w:styleId="Heading5Char">
    <w:name w:val="Heading 5 Char"/>
    <w:aliases w:val="Heading (no numbering in index) Aquamoney Char,Überschrift 5 Char Char"/>
    <w:link w:val="Heading5"/>
    <w:uiPriority w:val="99"/>
    <w:locked/>
    <w:rsid w:val="00DF751F"/>
    <w:rPr>
      <w:rFonts w:ascii="Arial" w:hAnsi="Arial"/>
      <w:b/>
      <w:color w:val="547844"/>
      <w:sz w:val="24"/>
      <w:szCs w:val="20"/>
      <w:lang w:val="en-GB" w:eastAsia="en-GB"/>
    </w:rPr>
  </w:style>
  <w:style w:type="character" w:customStyle="1" w:styleId="Heading6Char">
    <w:name w:val="Heading 6 Char"/>
    <w:aliases w:val="Appendix 1 Char"/>
    <w:link w:val="Heading6"/>
    <w:uiPriority w:val="99"/>
    <w:locked/>
    <w:rsid w:val="000554D8"/>
    <w:rPr>
      <w:rFonts w:ascii="LucidaSansEF" w:hAnsi="LucidaSansEF"/>
      <w:color w:val="000000"/>
      <w:sz w:val="32"/>
      <w:szCs w:val="40"/>
      <w:lang w:val="en-GB" w:eastAsia="en-US"/>
    </w:rPr>
  </w:style>
  <w:style w:type="character" w:customStyle="1" w:styleId="Heading7Char">
    <w:name w:val="Heading 7 Char"/>
    <w:aliases w:val="Appendix 2 Char"/>
    <w:link w:val="Heading7"/>
    <w:uiPriority w:val="99"/>
    <w:locked/>
    <w:rsid w:val="000554D8"/>
    <w:rPr>
      <w:rFonts w:ascii="LucidaSansEF" w:hAnsi="LucidaSansEF"/>
      <w:sz w:val="24"/>
      <w:szCs w:val="20"/>
      <w:lang w:val="en-GB" w:eastAsia="en-US"/>
    </w:rPr>
  </w:style>
  <w:style w:type="character" w:customStyle="1" w:styleId="Heading8Char">
    <w:name w:val="Heading 8 Char"/>
    <w:aliases w:val="Appendix 3 Char"/>
    <w:link w:val="Heading8"/>
    <w:uiPriority w:val="99"/>
    <w:locked/>
    <w:rsid w:val="000554D8"/>
    <w:rPr>
      <w:rFonts w:ascii="LucidaSansEF" w:hAnsi="LucidaSansEF"/>
      <w:sz w:val="24"/>
      <w:szCs w:val="20"/>
      <w:lang w:val="en-GB" w:eastAsia="en-US"/>
    </w:rPr>
  </w:style>
  <w:style w:type="character" w:customStyle="1" w:styleId="Heading9Char">
    <w:name w:val="Heading 9 Char"/>
    <w:aliases w:val="Appendix 4 Char"/>
    <w:link w:val="Heading9"/>
    <w:uiPriority w:val="99"/>
    <w:locked/>
    <w:rsid w:val="002F3ACC"/>
    <w:rPr>
      <w:rFonts w:ascii="Calibri" w:hAnsi="Calibri"/>
      <w:color w:val="333333"/>
      <w:lang w:val="en-GB" w:eastAsia="en-GB"/>
    </w:rPr>
  </w:style>
  <w:style w:type="paragraph" w:styleId="Header">
    <w:name w:val="header"/>
    <w:aliases w:val="Even"/>
    <w:basedOn w:val="Normal"/>
    <w:link w:val="HeaderChar"/>
    <w:uiPriority w:val="99"/>
    <w:rsid w:val="007C2F7D"/>
    <w:pPr>
      <w:tabs>
        <w:tab w:val="center" w:pos="4320"/>
        <w:tab w:val="right" w:pos="8640"/>
      </w:tabs>
      <w:spacing w:after="600"/>
      <w:jc w:val="right"/>
    </w:pPr>
    <w:rPr>
      <w:color w:val="404040"/>
      <w:sz w:val="16"/>
    </w:rPr>
  </w:style>
  <w:style w:type="character" w:customStyle="1" w:styleId="HeaderChar">
    <w:name w:val="Header Char"/>
    <w:aliases w:val="Even Char"/>
    <w:link w:val="Header"/>
    <w:uiPriority w:val="99"/>
    <w:locked/>
    <w:rsid w:val="00DF751F"/>
    <w:rPr>
      <w:rFonts w:ascii="Arial" w:hAnsi="Arial"/>
      <w:color w:val="404040"/>
      <w:sz w:val="16"/>
      <w:lang w:val="en-GB" w:eastAsia="en-GB"/>
    </w:rPr>
  </w:style>
  <w:style w:type="paragraph" w:styleId="Footer">
    <w:name w:val="footer"/>
    <w:basedOn w:val="Normal"/>
    <w:link w:val="FooterChar"/>
    <w:uiPriority w:val="99"/>
    <w:rsid w:val="002F3ACC"/>
    <w:pPr>
      <w:tabs>
        <w:tab w:val="center" w:pos="4320"/>
        <w:tab w:val="right" w:pos="8640"/>
      </w:tabs>
    </w:pPr>
    <w:rPr>
      <w:sz w:val="16"/>
    </w:rPr>
  </w:style>
  <w:style w:type="character" w:customStyle="1" w:styleId="FooterChar">
    <w:name w:val="Footer Char"/>
    <w:link w:val="Footer"/>
    <w:uiPriority w:val="99"/>
    <w:locked/>
    <w:rsid w:val="00DF751F"/>
    <w:rPr>
      <w:rFonts w:ascii="Arial" w:hAnsi="Arial"/>
      <w:color w:val="333333"/>
      <w:sz w:val="16"/>
      <w:lang w:val="en-GB" w:eastAsia="en-GB"/>
    </w:rPr>
  </w:style>
  <w:style w:type="character" w:styleId="PageNumber">
    <w:name w:val="page number"/>
    <w:uiPriority w:val="99"/>
    <w:rsid w:val="004C507B"/>
    <w:rPr>
      <w:rFonts w:ascii="Arial" w:hAnsi="Arial" w:cs="Times New Roman"/>
      <w:color w:val="244061"/>
      <w:sz w:val="20"/>
    </w:rPr>
  </w:style>
  <w:style w:type="paragraph" w:styleId="TOC2">
    <w:name w:val="toc 2"/>
    <w:basedOn w:val="Normal"/>
    <w:next w:val="Normal"/>
    <w:autoRedefine/>
    <w:uiPriority w:val="99"/>
    <w:rsid w:val="00015240"/>
    <w:pPr>
      <w:tabs>
        <w:tab w:val="left" w:pos="880"/>
        <w:tab w:val="right" w:leader="dot" w:pos="9016"/>
      </w:tabs>
      <w:ind w:left="851" w:hanging="631"/>
    </w:pPr>
    <w:rPr>
      <w:b/>
      <w:noProof/>
      <w:lang w:val="en-US"/>
    </w:rPr>
  </w:style>
  <w:style w:type="paragraph" w:customStyle="1" w:styleId="HeaderOdd">
    <w:name w:val="Header Odd"/>
    <w:basedOn w:val="Header"/>
    <w:uiPriority w:val="99"/>
    <w:rsid w:val="007C2F7D"/>
  </w:style>
  <w:style w:type="paragraph" w:customStyle="1" w:styleId="Italic">
    <w:name w:val="Italic"/>
    <w:basedOn w:val="Normal"/>
    <w:autoRedefine/>
    <w:uiPriority w:val="99"/>
    <w:rsid w:val="00466F91"/>
    <w:rPr>
      <w:i/>
    </w:rPr>
  </w:style>
  <w:style w:type="paragraph" w:styleId="TOC1">
    <w:name w:val="toc 1"/>
    <w:basedOn w:val="Normal"/>
    <w:next w:val="Normal"/>
    <w:uiPriority w:val="99"/>
    <w:rsid w:val="005C7393"/>
  </w:style>
  <w:style w:type="paragraph" w:styleId="TOC3">
    <w:name w:val="toc 3"/>
    <w:basedOn w:val="Normal"/>
    <w:next w:val="Normal"/>
    <w:autoRedefine/>
    <w:uiPriority w:val="99"/>
    <w:rsid w:val="005C7393"/>
    <w:pPr>
      <w:ind w:left="440"/>
    </w:pPr>
  </w:style>
  <w:style w:type="paragraph" w:styleId="TOC4">
    <w:name w:val="toc 4"/>
    <w:basedOn w:val="Normal"/>
    <w:next w:val="Normal"/>
    <w:autoRedefine/>
    <w:uiPriority w:val="99"/>
    <w:rsid w:val="005C7393"/>
    <w:pPr>
      <w:ind w:left="660"/>
    </w:pPr>
  </w:style>
  <w:style w:type="paragraph" w:styleId="TOC5">
    <w:name w:val="toc 5"/>
    <w:basedOn w:val="Normal"/>
    <w:next w:val="Normal"/>
    <w:autoRedefine/>
    <w:uiPriority w:val="99"/>
    <w:rsid w:val="005C7393"/>
    <w:pPr>
      <w:ind w:left="880"/>
    </w:pPr>
  </w:style>
  <w:style w:type="paragraph" w:styleId="TOC6">
    <w:name w:val="toc 6"/>
    <w:basedOn w:val="Normal"/>
    <w:next w:val="Normal"/>
    <w:autoRedefine/>
    <w:uiPriority w:val="99"/>
    <w:rsid w:val="005C7393"/>
    <w:pPr>
      <w:ind w:left="1100"/>
    </w:pPr>
  </w:style>
  <w:style w:type="paragraph" w:styleId="TOC7">
    <w:name w:val="toc 7"/>
    <w:basedOn w:val="Normal"/>
    <w:next w:val="Normal"/>
    <w:autoRedefine/>
    <w:uiPriority w:val="99"/>
    <w:rsid w:val="005C7393"/>
    <w:pPr>
      <w:ind w:left="1320"/>
    </w:pPr>
  </w:style>
  <w:style w:type="paragraph" w:styleId="TOC8">
    <w:name w:val="toc 8"/>
    <w:basedOn w:val="Normal"/>
    <w:next w:val="Normal"/>
    <w:autoRedefine/>
    <w:uiPriority w:val="99"/>
    <w:rsid w:val="005C7393"/>
    <w:pPr>
      <w:ind w:left="1540"/>
    </w:pPr>
  </w:style>
  <w:style w:type="paragraph" w:styleId="TOC9">
    <w:name w:val="toc 9"/>
    <w:basedOn w:val="Normal"/>
    <w:next w:val="Normal"/>
    <w:autoRedefine/>
    <w:uiPriority w:val="99"/>
    <w:rsid w:val="005C7393"/>
    <w:pPr>
      <w:ind w:left="1760"/>
    </w:pPr>
  </w:style>
  <w:style w:type="paragraph" w:styleId="BalloonText">
    <w:name w:val="Balloon Text"/>
    <w:basedOn w:val="Normal"/>
    <w:link w:val="BalloonTextChar"/>
    <w:uiPriority w:val="99"/>
    <w:rsid w:val="002F3ACC"/>
    <w:rPr>
      <w:rFonts w:ascii="Tahoma" w:hAnsi="Tahoma"/>
      <w:sz w:val="16"/>
      <w:szCs w:val="16"/>
    </w:rPr>
  </w:style>
  <w:style w:type="character" w:customStyle="1" w:styleId="BalloonTextChar">
    <w:name w:val="Balloon Text Char"/>
    <w:link w:val="BalloonText"/>
    <w:uiPriority w:val="99"/>
    <w:locked/>
    <w:rsid w:val="00DF751F"/>
    <w:rPr>
      <w:rFonts w:ascii="Tahoma" w:hAnsi="Tahoma"/>
      <w:color w:val="333333"/>
      <w:sz w:val="16"/>
      <w:lang w:val="en-GB" w:eastAsia="en-GB"/>
    </w:rPr>
  </w:style>
  <w:style w:type="paragraph" w:customStyle="1" w:styleId="NormalBold">
    <w:name w:val="Normal Bold"/>
    <w:basedOn w:val="Normal"/>
    <w:uiPriority w:val="99"/>
    <w:rsid w:val="00466F91"/>
    <w:rPr>
      <w:b/>
    </w:rPr>
  </w:style>
  <w:style w:type="paragraph" w:styleId="ListBullet">
    <w:name w:val="List Bullet"/>
    <w:basedOn w:val="Normal"/>
    <w:uiPriority w:val="99"/>
    <w:rsid w:val="00DD4BD2"/>
    <w:pPr>
      <w:ind w:left="360" w:hanging="360"/>
      <w:jc w:val="left"/>
    </w:pPr>
  </w:style>
  <w:style w:type="paragraph" w:styleId="ListBullet2">
    <w:name w:val="List Bullet 2"/>
    <w:basedOn w:val="Normal"/>
    <w:uiPriority w:val="99"/>
    <w:rsid w:val="00DD4BD2"/>
    <w:pPr>
      <w:numPr>
        <w:numId w:val="8"/>
      </w:numPr>
      <w:jc w:val="left"/>
    </w:pPr>
  </w:style>
  <w:style w:type="paragraph" w:styleId="ListBullet3">
    <w:name w:val="List Bullet 3"/>
    <w:basedOn w:val="Normal"/>
    <w:uiPriority w:val="99"/>
    <w:rsid w:val="00DD4BD2"/>
    <w:pPr>
      <w:numPr>
        <w:numId w:val="9"/>
      </w:numPr>
      <w:tabs>
        <w:tab w:val="left" w:pos="851"/>
      </w:tabs>
    </w:pPr>
  </w:style>
  <w:style w:type="paragraph" w:styleId="ListNumber">
    <w:name w:val="List Number"/>
    <w:basedOn w:val="Normal"/>
    <w:uiPriority w:val="99"/>
    <w:rsid w:val="00DD4BD2"/>
    <w:pPr>
      <w:numPr>
        <w:numId w:val="10"/>
      </w:numPr>
      <w:tabs>
        <w:tab w:val="left" w:pos="284"/>
        <w:tab w:val="left" w:pos="567"/>
        <w:tab w:val="left" w:pos="851"/>
      </w:tabs>
      <w:jc w:val="left"/>
    </w:pPr>
  </w:style>
  <w:style w:type="paragraph" w:styleId="ListNumber2">
    <w:name w:val="List Number 2"/>
    <w:basedOn w:val="Normal"/>
    <w:uiPriority w:val="99"/>
    <w:rsid w:val="00DD4BD2"/>
    <w:pPr>
      <w:numPr>
        <w:numId w:val="11"/>
      </w:numPr>
      <w:tabs>
        <w:tab w:val="left" w:pos="567"/>
        <w:tab w:val="left" w:pos="851"/>
        <w:tab w:val="left" w:pos="1134"/>
        <w:tab w:val="left" w:pos="1418"/>
        <w:tab w:val="left" w:pos="1701"/>
      </w:tabs>
      <w:jc w:val="left"/>
    </w:pPr>
  </w:style>
  <w:style w:type="paragraph" w:styleId="ListNumber3">
    <w:name w:val="List Number 3"/>
    <w:basedOn w:val="Normal"/>
    <w:uiPriority w:val="99"/>
    <w:rsid w:val="00DD4BD2"/>
    <w:pPr>
      <w:numPr>
        <w:numId w:val="12"/>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uiPriority w:val="99"/>
    <w:rsid w:val="002F3ACC"/>
    <w:rPr>
      <w:rFonts w:cs="Times New Roman"/>
      <w:sz w:val="16"/>
    </w:rPr>
  </w:style>
  <w:style w:type="paragraph" w:styleId="CommentText">
    <w:name w:val="annotation text"/>
    <w:basedOn w:val="Normal"/>
    <w:link w:val="CommentTextChar"/>
    <w:uiPriority w:val="99"/>
    <w:rsid w:val="002F3ACC"/>
    <w:rPr>
      <w:sz w:val="20"/>
    </w:rPr>
  </w:style>
  <w:style w:type="character" w:customStyle="1" w:styleId="CommentTextChar">
    <w:name w:val="Comment Text Char"/>
    <w:link w:val="CommentText"/>
    <w:uiPriority w:val="99"/>
    <w:locked/>
    <w:rsid w:val="00DF751F"/>
    <w:rPr>
      <w:rFonts w:ascii="Arial" w:hAnsi="Arial"/>
      <w:color w:val="333333"/>
      <w:lang w:val="en-GB" w:eastAsia="en-GB"/>
    </w:rPr>
  </w:style>
  <w:style w:type="paragraph" w:styleId="CommentSubject">
    <w:name w:val="annotation subject"/>
    <w:basedOn w:val="CommentText"/>
    <w:next w:val="CommentText"/>
    <w:link w:val="CommentSubjectChar"/>
    <w:uiPriority w:val="99"/>
    <w:rsid w:val="002F3ACC"/>
    <w:rPr>
      <w:b/>
      <w:bCs/>
    </w:rPr>
  </w:style>
  <w:style w:type="character" w:customStyle="1" w:styleId="CommentSubjectChar">
    <w:name w:val="Comment Subject Char"/>
    <w:link w:val="CommentSubject"/>
    <w:uiPriority w:val="99"/>
    <w:locked/>
    <w:rsid w:val="00DF751F"/>
    <w:rPr>
      <w:rFonts w:ascii="Arial" w:hAnsi="Arial"/>
      <w:b/>
      <w:color w:val="333333"/>
      <w:lang w:val="en-GB" w:eastAsia="en-GB"/>
    </w:rPr>
  </w:style>
  <w:style w:type="paragraph" w:customStyle="1" w:styleId="Headline">
    <w:name w:val="Headline"/>
    <w:basedOn w:val="Normal"/>
    <w:uiPriority w:val="99"/>
    <w:rsid w:val="00A56A4A"/>
    <w:pPr>
      <w:spacing w:line="336" w:lineRule="auto"/>
    </w:pPr>
    <w:rPr>
      <w:sz w:val="28"/>
    </w:rPr>
  </w:style>
  <w:style w:type="table" w:customStyle="1" w:styleId="ColorfulGrid1">
    <w:name w:val="Colorful Grid1"/>
    <w:uiPriority w:val="99"/>
    <w:rsid w:val="00372C10"/>
    <w:rPr>
      <w:color w:val="000000"/>
      <w:lang w:val="en-IE" w:eastAsia="en-IE"/>
    </w:rPr>
    <w:tblPr>
      <w:tblOverlap w:val="never"/>
      <w:tblStyleRowBandSize w:val="1"/>
      <w:tblStyleColBandSize w:val="1"/>
      <w:jc w:val="center"/>
      <w:tblInd w:w="0" w:type="dxa"/>
      <w:tblBorders>
        <w:insideH w:val="single" w:sz="4" w:space="0" w:color="FFFFFF"/>
      </w:tblBorders>
      <w:tblCellMar>
        <w:top w:w="0" w:type="dxa"/>
        <w:left w:w="108" w:type="dxa"/>
        <w:bottom w:w="0" w:type="dxa"/>
        <w:right w:w="108" w:type="dxa"/>
      </w:tblCellMar>
    </w:tblPr>
    <w:trPr>
      <w:jc w:val="center"/>
    </w:trPr>
    <w:tcPr>
      <w:shd w:val="clear" w:color="auto" w:fill="CCCCCC"/>
    </w:tcPr>
  </w:style>
  <w:style w:type="table" w:styleId="TableGrid">
    <w:name w:val="Table Grid"/>
    <w:basedOn w:val="TableNormal"/>
    <w:uiPriority w:val="9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uiPriority w:val="99"/>
    <w:rsid w:val="000E47FB"/>
    <w:rPr>
      <w:rFonts w:ascii="Arial" w:hAnsi="Arial" w:cs="Times New Roman"/>
      <w:color w:val="632423"/>
      <w:u w:val="single"/>
    </w:rPr>
  </w:style>
  <w:style w:type="paragraph" w:styleId="DocumentMap">
    <w:name w:val="Document Map"/>
    <w:basedOn w:val="Normal"/>
    <w:link w:val="DocumentMapChar"/>
    <w:uiPriority w:val="99"/>
    <w:rsid w:val="002A4989"/>
    <w:pPr>
      <w:spacing w:after="0" w:line="240" w:lineRule="auto"/>
    </w:pPr>
    <w:rPr>
      <w:rFonts w:ascii="Tahoma" w:hAnsi="Tahoma"/>
      <w:color w:val="0D0D0D"/>
      <w:sz w:val="16"/>
      <w:szCs w:val="16"/>
    </w:rPr>
  </w:style>
  <w:style w:type="character" w:customStyle="1" w:styleId="DocumentMapChar">
    <w:name w:val="Document Map Char"/>
    <w:link w:val="DocumentMap"/>
    <w:uiPriority w:val="99"/>
    <w:locked/>
    <w:rsid w:val="002A4989"/>
    <w:rPr>
      <w:rFonts w:ascii="Tahoma" w:hAnsi="Tahoma"/>
      <w:color w:val="0D0D0D"/>
      <w:sz w:val="16"/>
      <w:lang w:val="en-GB" w:eastAsia="en-GB"/>
    </w:rPr>
  </w:style>
  <w:style w:type="paragraph" w:styleId="BodyText">
    <w:name w:val="Body Text"/>
    <w:basedOn w:val="Normal"/>
    <w:link w:val="BodyTextChar"/>
    <w:uiPriority w:val="99"/>
    <w:rsid w:val="002F3ACC"/>
    <w:pPr>
      <w:spacing w:after="120"/>
    </w:pPr>
    <w:rPr>
      <w:color w:val="0D0D0D"/>
    </w:rPr>
  </w:style>
  <w:style w:type="character" w:customStyle="1" w:styleId="BodyTextChar">
    <w:name w:val="Body Text Char"/>
    <w:link w:val="BodyText"/>
    <w:uiPriority w:val="99"/>
    <w:locked/>
    <w:rsid w:val="00B83545"/>
    <w:rPr>
      <w:rFonts w:ascii="Arial" w:hAnsi="Arial"/>
      <w:color w:val="0D0D0D"/>
      <w:sz w:val="22"/>
      <w:lang w:val="en-GB" w:eastAsia="en-GB"/>
    </w:r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iPriority w:val="99"/>
    <w:qFormat/>
    <w:rsid w:val="00F3400F"/>
    <w:pPr>
      <w:pBdr>
        <w:top w:val="single" w:sz="18" w:space="1" w:color="F2F2F2"/>
        <w:left w:val="single" w:sz="18" w:space="4" w:color="F2F2F2"/>
        <w:bottom w:val="single" w:sz="18" w:space="1" w:color="F2F2F2"/>
        <w:right w:val="single" w:sz="18" w:space="4" w:color="F2F2F2"/>
      </w:pBdr>
      <w:shd w:val="clear" w:color="auto" w:fill="F2F2F2"/>
      <w:spacing w:before="120" w:after="120" w:line="240" w:lineRule="auto"/>
      <w:ind w:left="113" w:right="113"/>
    </w:pPr>
    <w:rPr>
      <w:color w:val="404040"/>
      <w:sz w:val="20"/>
    </w:rPr>
  </w:style>
  <w:style w:type="paragraph" w:customStyle="1" w:styleId="PretendHeading1">
    <w:name w:val="Pretend Heading 1"/>
    <w:basedOn w:val="Normal"/>
    <w:uiPriority w:val="99"/>
    <w:rsid w:val="00A56A4A"/>
    <w:pPr>
      <w:spacing w:before="120" w:after="240"/>
    </w:pPr>
    <w:rPr>
      <w:b/>
      <w:color w:val="9C9C9C"/>
      <w:sz w:val="40"/>
    </w:rPr>
  </w:style>
  <w:style w:type="paragraph" w:styleId="TableofFigures">
    <w:name w:val="table of figures"/>
    <w:basedOn w:val="Normal"/>
    <w:next w:val="Normal"/>
    <w:uiPriority w:val="99"/>
    <w:rsid w:val="002F3ACC"/>
    <w:pPr>
      <w:ind w:left="440" w:hanging="440"/>
    </w:pPr>
  </w:style>
  <w:style w:type="paragraph" w:styleId="TOCHeading">
    <w:name w:val="TOC Heading"/>
    <w:basedOn w:val="Heading1"/>
    <w:next w:val="Normal"/>
    <w:uiPriority w:val="99"/>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paragraph" w:styleId="ListParagraph">
    <w:name w:val="List Paragraph"/>
    <w:basedOn w:val="Normal"/>
    <w:uiPriority w:val="99"/>
    <w:qFormat/>
    <w:rsid w:val="000554D8"/>
    <w:pPr>
      <w:suppressAutoHyphens w:val="0"/>
      <w:spacing w:after="0" w:line="360" w:lineRule="auto"/>
      <w:ind w:left="720"/>
      <w:contextualSpacing/>
      <w:jc w:val="left"/>
    </w:pPr>
    <w:rPr>
      <w:rFonts w:ascii="Times New Roman" w:hAnsi="Times New Roman"/>
      <w:color w:val="auto"/>
      <w:sz w:val="24"/>
      <w:szCs w:val="24"/>
      <w:lang w:val="en-US" w:eastAsia="en-US"/>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o,f"/>
    <w:basedOn w:val="Normal"/>
    <w:link w:val="FootnoteTextChar"/>
    <w:uiPriority w:val="99"/>
    <w:rsid w:val="000554D8"/>
    <w:pPr>
      <w:suppressAutoHyphens w:val="0"/>
      <w:spacing w:after="0" w:line="240" w:lineRule="auto"/>
      <w:jc w:val="left"/>
    </w:pPr>
    <w:rPr>
      <w:rFonts w:ascii="Times New Roman" w:hAnsi="Times New Roman"/>
      <w:color w:val="auto"/>
      <w:sz w:val="20"/>
      <w:lang w:val="en-IE"/>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link w:val="FootnoteText"/>
    <w:uiPriority w:val="99"/>
    <w:locked/>
    <w:rsid w:val="000554D8"/>
    <w:rPr>
      <w:rFonts w:eastAsia="Times New Roman"/>
    </w:rPr>
  </w:style>
  <w:style w:type="character" w:styleId="FootnoteReference">
    <w:name w:val="footnote reference"/>
    <w:aliases w:val="number,Footnote symbol,Voetnootverwijzing,Times 10 Point,Exposant 3 Point,Footnote reference number,note TESI,SUPERS,EN Footnote Reference,Ref,de nota al pie,Footnote Reference Superscript,Footnote sign,BVI fnr,f1"/>
    <w:uiPriority w:val="99"/>
    <w:rsid w:val="000554D8"/>
    <w:rPr>
      <w:rFonts w:cs="Times New Roman"/>
      <w:vertAlign w:val="superscript"/>
    </w:rPr>
  </w:style>
  <w:style w:type="character" w:customStyle="1" w:styleId="apple-converted-space">
    <w:name w:val="apple-converted-space"/>
    <w:uiPriority w:val="99"/>
    <w:rsid w:val="009B5B06"/>
  </w:style>
  <w:style w:type="paragraph" w:customStyle="1" w:styleId="Default">
    <w:name w:val="Default"/>
    <w:uiPriority w:val="99"/>
    <w:rsid w:val="003C6002"/>
    <w:pPr>
      <w:autoSpaceDE w:val="0"/>
      <w:autoSpaceDN w:val="0"/>
      <w:adjustRightInd w:val="0"/>
    </w:pPr>
    <w:rPr>
      <w:rFonts w:ascii="Cambria" w:hAnsi="Cambria" w:cs="Cambria"/>
      <w:color w:val="000000"/>
      <w:sz w:val="24"/>
      <w:szCs w:val="24"/>
      <w:lang w:val="en-GB"/>
    </w:rPr>
  </w:style>
  <w:style w:type="character" w:styleId="FollowedHyperlink">
    <w:name w:val="FollowedHyperlink"/>
    <w:uiPriority w:val="99"/>
    <w:rsid w:val="003C6002"/>
    <w:rPr>
      <w:rFonts w:cs="Times New Roman"/>
      <w:color w:val="AF324E"/>
      <w:u w:val="single"/>
    </w:rPr>
  </w:style>
  <w:style w:type="paragraph" w:customStyle="1" w:styleId="HeadingtableAquamoney">
    <w:name w:val="Heading table Aquamoney"/>
    <w:basedOn w:val="Normal"/>
    <w:uiPriority w:val="99"/>
    <w:rsid w:val="00644D36"/>
    <w:pPr>
      <w:suppressAutoHyphens w:val="0"/>
      <w:spacing w:after="200" w:line="300" w:lineRule="exact"/>
      <w:jc w:val="left"/>
    </w:pPr>
    <w:rPr>
      <w:rFonts w:ascii="Futura-Bold" w:hAnsi="Futura-Bold"/>
      <w:color w:val="auto"/>
      <w:sz w:val="16"/>
      <w:szCs w:val="22"/>
      <w:lang w:eastAsia="nl-NL"/>
    </w:rPr>
  </w:style>
  <w:style w:type="paragraph" w:customStyle="1" w:styleId="Equation">
    <w:name w:val="Equation"/>
    <w:basedOn w:val="Normal"/>
    <w:next w:val="Normal"/>
    <w:uiPriority w:val="99"/>
    <w:rsid w:val="00DF751F"/>
    <w:pPr>
      <w:suppressAutoHyphens w:val="0"/>
      <w:spacing w:after="200" w:line="276" w:lineRule="auto"/>
      <w:ind w:left="340"/>
      <w:jc w:val="left"/>
    </w:pPr>
    <w:rPr>
      <w:rFonts w:ascii="Calibri" w:hAnsi="Calibri"/>
      <w:color w:val="auto"/>
      <w:szCs w:val="22"/>
      <w:lang w:eastAsia="en-US"/>
    </w:rPr>
  </w:style>
  <w:style w:type="paragraph" w:customStyle="1" w:styleId="EquationNumber">
    <w:name w:val="EquationNumber"/>
    <w:basedOn w:val="Equation"/>
    <w:next w:val="Normal"/>
    <w:uiPriority w:val="99"/>
    <w:rsid w:val="00DF751F"/>
    <w:pPr>
      <w:ind w:left="0"/>
      <w:jc w:val="right"/>
    </w:pPr>
  </w:style>
  <w:style w:type="paragraph" w:customStyle="1" w:styleId="Heading0">
    <w:name w:val="Heading 0"/>
    <w:basedOn w:val="Heading1"/>
    <w:next w:val="Normal"/>
    <w:uiPriority w:val="99"/>
    <w:rsid w:val="00DF751F"/>
    <w:pPr>
      <w:keepLines/>
      <w:numPr>
        <w:numId w:val="0"/>
      </w:numPr>
      <w:tabs>
        <w:tab w:val="left" w:pos="720"/>
      </w:tabs>
      <w:spacing w:before="0" w:after="200" w:line="276" w:lineRule="auto"/>
    </w:pPr>
    <w:rPr>
      <w:rFonts w:ascii="Calibri" w:hAnsi="Calibri"/>
      <w:b w:val="0"/>
      <w:color w:val="000000"/>
      <w:sz w:val="28"/>
      <w:szCs w:val="22"/>
      <w:lang w:eastAsia="en-US"/>
    </w:rPr>
  </w:style>
  <w:style w:type="paragraph" w:customStyle="1" w:styleId="Heading0notinTOC">
    <w:name w:val="Heading 0 (not in TOC)"/>
    <w:basedOn w:val="Heading1"/>
    <w:next w:val="Normal"/>
    <w:uiPriority w:val="99"/>
    <w:rsid w:val="00DF751F"/>
    <w:pPr>
      <w:keepLines/>
      <w:numPr>
        <w:numId w:val="0"/>
      </w:numPr>
      <w:tabs>
        <w:tab w:val="left" w:pos="720"/>
      </w:tabs>
      <w:spacing w:before="0" w:after="200" w:line="276" w:lineRule="auto"/>
    </w:pPr>
    <w:rPr>
      <w:rFonts w:ascii="Calibri" w:hAnsi="Calibri"/>
      <w:b w:val="0"/>
      <w:color w:val="000000"/>
      <w:sz w:val="28"/>
      <w:szCs w:val="22"/>
      <w:lang w:eastAsia="en-US"/>
    </w:rPr>
  </w:style>
  <w:style w:type="paragraph" w:customStyle="1" w:styleId="ListBulletLast">
    <w:name w:val="List Bullet Last"/>
    <w:basedOn w:val="ListBullet1"/>
    <w:next w:val="Normal"/>
    <w:uiPriority w:val="99"/>
    <w:rsid w:val="00DF751F"/>
    <w:pPr>
      <w:spacing w:after="120"/>
    </w:pPr>
  </w:style>
  <w:style w:type="paragraph" w:customStyle="1" w:styleId="ListNumberLast">
    <w:name w:val="List Number Last"/>
    <w:basedOn w:val="ListNumber"/>
    <w:next w:val="Normal"/>
    <w:uiPriority w:val="99"/>
    <w:rsid w:val="00DF751F"/>
    <w:pPr>
      <w:numPr>
        <w:numId w:val="0"/>
      </w:numPr>
      <w:tabs>
        <w:tab w:val="clear" w:pos="284"/>
        <w:tab w:val="clear" w:pos="567"/>
      </w:tabs>
      <w:suppressAutoHyphens w:val="0"/>
      <w:spacing w:after="120" w:line="276" w:lineRule="auto"/>
    </w:pPr>
    <w:rPr>
      <w:rFonts w:ascii="Calibri" w:hAnsi="Calibri"/>
      <w:color w:val="auto"/>
      <w:szCs w:val="22"/>
      <w:lang w:eastAsia="en-US"/>
    </w:rPr>
  </w:style>
  <w:style w:type="paragraph" w:customStyle="1" w:styleId="Reference">
    <w:name w:val="Reference"/>
    <w:basedOn w:val="Normal"/>
    <w:uiPriority w:val="99"/>
    <w:rsid w:val="00DF751F"/>
    <w:pPr>
      <w:suppressAutoHyphens w:val="0"/>
      <w:spacing w:after="60" w:line="276" w:lineRule="auto"/>
      <w:ind w:left="340" w:hanging="340"/>
      <w:jc w:val="left"/>
    </w:pPr>
    <w:rPr>
      <w:rFonts w:ascii="Calibri" w:hAnsi="Calibri"/>
      <w:color w:val="auto"/>
      <w:sz w:val="21"/>
      <w:szCs w:val="22"/>
      <w:lang w:eastAsia="en-US"/>
    </w:rPr>
  </w:style>
  <w:style w:type="paragraph" w:styleId="Subtitle">
    <w:name w:val="Subtitle"/>
    <w:basedOn w:val="Normal"/>
    <w:next w:val="NormalIndent"/>
    <w:link w:val="SubtitleChar"/>
    <w:uiPriority w:val="99"/>
    <w:qFormat/>
    <w:rsid w:val="00DF751F"/>
    <w:pPr>
      <w:suppressAutoHyphens w:val="0"/>
      <w:spacing w:after="200" w:line="276" w:lineRule="auto"/>
      <w:ind w:left="567"/>
      <w:jc w:val="left"/>
    </w:pPr>
    <w:rPr>
      <w:rFonts w:ascii="Calibri" w:hAnsi="Calibri"/>
      <w:b/>
      <w:color w:val="auto"/>
      <w:szCs w:val="22"/>
    </w:rPr>
  </w:style>
  <w:style w:type="character" w:customStyle="1" w:styleId="SubtitleChar">
    <w:name w:val="Subtitle Char"/>
    <w:link w:val="Subtitle"/>
    <w:uiPriority w:val="99"/>
    <w:locked/>
    <w:rsid w:val="00DF751F"/>
    <w:rPr>
      <w:rFonts w:ascii="Calibri" w:hAnsi="Calibri"/>
      <w:b/>
      <w:sz w:val="22"/>
      <w:lang w:val="en-GB"/>
    </w:rPr>
  </w:style>
  <w:style w:type="paragraph" w:customStyle="1" w:styleId="Table">
    <w:name w:val="Table"/>
    <w:basedOn w:val="Normal"/>
    <w:uiPriority w:val="99"/>
    <w:rsid w:val="00DF751F"/>
    <w:pPr>
      <w:keepNext/>
      <w:keepLines/>
      <w:suppressAutoHyphens w:val="0"/>
      <w:spacing w:after="200" w:line="276" w:lineRule="auto"/>
      <w:jc w:val="left"/>
    </w:pPr>
    <w:rPr>
      <w:rFonts w:ascii="Calibri" w:hAnsi="Calibri"/>
      <w:color w:val="auto"/>
      <w:sz w:val="21"/>
      <w:szCs w:val="22"/>
      <w:lang w:eastAsia="en-US"/>
    </w:rPr>
  </w:style>
  <w:style w:type="paragraph" w:styleId="Title">
    <w:name w:val="Title"/>
    <w:basedOn w:val="Normal"/>
    <w:next w:val="Subtitle"/>
    <w:link w:val="TitleChar"/>
    <w:uiPriority w:val="99"/>
    <w:qFormat/>
    <w:rsid w:val="00DF751F"/>
    <w:pPr>
      <w:spacing w:before="1000" w:after="200" w:line="276" w:lineRule="auto"/>
      <w:ind w:left="567"/>
      <w:jc w:val="left"/>
    </w:pPr>
    <w:rPr>
      <w:rFonts w:ascii="Calibri" w:hAnsi="Calibri"/>
      <w:color w:val="auto"/>
      <w:kern w:val="28"/>
      <w:szCs w:val="22"/>
    </w:rPr>
  </w:style>
  <w:style w:type="character" w:customStyle="1" w:styleId="TitleChar">
    <w:name w:val="Title Char"/>
    <w:link w:val="Title"/>
    <w:uiPriority w:val="99"/>
    <w:locked/>
    <w:rsid w:val="00DF751F"/>
    <w:rPr>
      <w:rFonts w:ascii="Calibri" w:hAnsi="Calibri"/>
      <w:kern w:val="28"/>
      <w:sz w:val="22"/>
      <w:lang w:val="en-GB"/>
    </w:rPr>
  </w:style>
  <w:style w:type="paragraph" w:customStyle="1" w:styleId="Figure">
    <w:name w:val="Figure"/>
    <w:basedOn w:val="Normal"/>
    <w:next w:val="Normal"/>
    <w:uiPriority w:val="99"/>
    <w:rsid w:val="00DF751F"/>
    <w:pPr>
      <w:keepNext/>
      <w:keepLines/>
      <w:suppressAutoHyphens w:val="0"/>
      <w:spacing w:after="200" w:line="276" w:lineRule="auto"/>
      <w:jc w:val="left"/>
    </w:pPr>
    <w:rPr>
      <w:rFonts w:ascii="Calibri" w:hAnsi="Calibri"/>
      <w:color w:val="auto"/>
      <w:szCs w:val="22"/>
      <w:lang w:eastAsia="en-US"/>
    </w:rPr>
  </w:style>
  <w:style w:type="character" w:customStyle="1" w:styleId="MTEquationSection">
    <w:name w:val="MTEquationSection"/>
    <w:uiPriority w:val="99"/>
    <w:rsid w:val="00DF751F"/>
    <w:rPr>
      <w:vanish/>
      <w:color w:val="FF0000"/>
    </w:rPr>
  </w:style>
  <w:style w:type="paragraph" w:styleId="NormalIndent">
    <w:name w:val="Normal Indent"/>
    <w:basedOn w:val="Normal"/>
    <w:uiPriority w:val="99"/>
    <w:semiHidden/>
    <w:rsid w:val="00DF751F"/>
    <w:pPr>
      <w:suppressAutoHyphens w:val="0"/>
      <w:spacing w:after="200" w:line="276" w:lineRule="auto"/>
      <w:ind w:left="567"/>
      <w:jc w:val="left"/>
    </w:pPr>
    <w:rPr>
      <w:rFonts w:ascii="Calibri" w:hAnsi="Calibri"/>
      <w:color w:val="auto"/>
      <w:szCs w:val="22"/>
      <w:lang w:eastAsia="en-US"/>
    </w:rPr>
  </w:style>
  <w:style w:type="paragraph" w:customStyle="1" w:styleId="ListBullet1">
    <w:name w:val="List Bullet1"/>
    <w:basedOn w:val="Listbullet1stlevel"/>
    <w:uiPriority w:val="99"/>
    <w:rsid w:val="00DF751F"/>
  </w:style>
  <w:style w:type="paragraph" w:customStyle="1" w:styleId="Listcharacter1stlevel">
    <w:name w:val="List character 1st level"/>
    <w:basedOn w:val="Normal"/>
    <w:uiPriority w:val="99"/>
    <w:rsid w:val="00DF751F"/>
    <w:pPr>
      <w:tabs>
        <w:tab w:val="left" w:pos="284"/>
        <w:tab w:val="left" w:pos="567"/>
        <w:tab w:val="left" w:pos="851"/>
      </w:tabs>
      <w:suppressAutoHyphens w:val="0"/>
      <w:spacing w:after="200" w:line="276" w:lineRule="auto"/>
      <w:ind w:left="284" w:hanging="284"/>
      <w:jc w:val="left"/>
    </w:pPr>
    <w:rPr>
      <w:rFonts w:ascii="Calibri" w:hAnsi="Calibri"/>
      <w:color w:val="auto"/>
      <w:szCs w:val="23"/>
      <w:lang w:eastAsia="nl-NL"/>
    </w:rPr>
  </w:style>
  <w:style w:type="paragraph" w:customStyle="1" w:styleId="Listcharacter2ndlevel">
    <w:name w:val="List character 2nd level"/>
    <w:basedOn w:val="Normal"/>
    <w:uiPriority w:val="99"/>
    <w:rsid w:val="00DF751F"/>
    <w:pPr>
      <w:numPr>
        <w:ilvl w:val="1"/>
        <w:numId w:val="7"/>
      </w:numPr>
      <w:tabs>
        <w:tab w:val="left" w:pos="284"/>
        <w:tab w:val="left" w:pos="567"/>
        <w:tab w:val="left" w:pos="851"/>
      </w:tabs>
      <w:suppressAutoHyphens w:val="0"/>
      <w:spacing w:after="200" w:line="276" w:lineRule="auto"/>
      <w:ind w:left="568" w:hanging="284"/>
      <w:jc w:val="left"/>
    </w:pPr>
    <w:rPr>
      <w:rFonts w:ascii="Calibri" w:hAnsi="Calibri"/>
      <w:color w:val="auto"/>
      <w:szCs w:val="23"/>
      <w:lang w:eastAsia="nl-NL"/>
    </w:rPr>
  </w:style>
  <w:style w:type="paragraph" w:customStyle="1" w:styleId="Listcharacter3rdlevel">
    <w:name w:val="List character 3rd level"/>
    <w:basedOn w:val="Normal"/>
    <w:uiPriority w:val="99"/>
    <w:rsid w:val="00DF751F"/>
    <w:pPr>
      <w:numPr>
        <w:ilvl w:val="2"/>
        <w:numId w:val="7"/>
      </w:numPr>
      <w:tabs>
        <w:tab w:val="left" w:pos="284"/>
        <w:tab w:val="left" w:pos="567"/>
        <w:tab w:val="left" w:pos="851"/>
      </w:tabs>
      <w:suppressAutoHyphens w:val="0"/>
      <w:spacing w:after="200" w:line="276" w:lineRule="auto"/>
      <w:ind w:left="852" w:hanging="284"/>
      <w:jc w:val="left"/>
    </w:pPr>
    <w:rPr>
      <w:rFonts w:ascii="Calibri" w:hAnsi="Calibri"/>
      <w:color w:val="auto"/>
      <w:szCs w:val="23"/>
      <w:lang w:eastAsia="nl-NL"/>
    </w:rPr>
  </w:style>
  <w:style w:type="paragraph" w:customStyle="1" w:styleId="Listnumber1stlevel">
    <w:name w:val="List number 1st level"/>
    <w:basedOn w:val="Normal"/>
    <w:uiPriority w:val="99"/>
    <w:rsid w:val="00DF751F"/>
    <w:pPr>
      <w:numPr>
        <w:numId w:val="23"/>
      </w:numPr>
      <w:tabs>
        <w:tab w:val="left" w:pos="794"/>
        <w:tab w:val="left" w:pos="1191"/>
      </w:tabs>
      <w:suppressAutoHyphens w:val="0"/>
      <w:spacing w:after="200" w:line="276" w:lineRule="auto"/>
      <w:jc w:val="left"/>
    </w:pPr>
    <w:rPr>
      <w:rFonts w:ascii="Calibri" w:hAnsi="Calibri"/>
      <w:color w:val="auto"/>
      <w:szCs w:val="23"/>
      <w:lang w:eastAsia="nl-NL"/>
    </w:rPr>
  </w:style>
  <w:style w:type="paragraph" w:customStyle="1" w:styleId="Listnumber2ndlevel">
    <w:name w:val="List number 2nd level"/>
    <w:basedOn w:val="Normal"/>
    <w:uiPriority w:val="99"/>
    <w:rsid w:val="00DF751F"/>
    <w:pPr>
      <w:numPr>
        <w:ilvl w:val="1"/>
        <w:numId w:val="23"/>
      </w:numPr>
      <w:tabs>
        <w:tab w:val="left" w:pos="1191"/>
      </w:tabs>
      <w:suppressAutoHyphens w:val="0"/>
      <w:spacing w:after="200" w:line="276" w:lineRule="auto"/>
      <w:jc w:val="left"/>
    </w:pPr>
    <w:rPr>
      <w:rFonts w:ascii="Calibri" w:hAnsi="Calibri"/>
      <w:color w:val="auto"/>
      <w:szCs w:val="23"/>
      <w:lang w:eastAsia="nl-NL"/>
    </w:rPr>
  </w:style>
  <w:style w:type="paragraph" w:customStyle="1" w:styleId="Listnumber3rdlevel">
    <w:name w:val="List number 3rd level"/>
    <w:basedOn w:val="Normal"/>
    <w:uiPriority w:val="99"/>
    <w:rsid w:val="00DF751F"/>
    <w:pPr>
      <w:numPr>
        <w:ilvl w:val="2"/>
        <w:numId w:val="23"/>
      </w:numPr>
      <w:tabs>
        <w:tab w:val="left" w:pos="794"/>
      </w:tabs>
      <w:suppressAutoHyphens w:val="0"/>
      <w:spacing w:after="200" w:line="276" w:lineRule="auto"/>
      <w:jc w:val="left"/>
    </w:pPr>
    <w:rPr>
      <w:rFonts w:ascii="Calibri" w:hAnsi="Calibri"/>
      <w:color w:val="auto"/>
      <w:szCs w:val="23"/>
      <w:lang w:eastAsia="nl-NL"/>
    </w:rPr>
  </w:style>
  <w:style w:type="paragraph" w:customStyle="1" w:styleId="Listbullet1stlevel">
    <w:name w:val="List bullet 1st level"/>
    <w:basedOn w:val="Listbullet2ndlevel"/>
    <w:uiPriority w:val="99"/>
    <w:rsid w:val="00DF751F"/>
    <w:pPr>
      <w:numPr>
        <w:numId w:val="24"/>
      </w:numPr>
    </w:pPr>
  </w:style>
  <w:style w:type="paragraph" w:customStyle="1" w:styleId="Listbullet2ndlevel">
    <w:name w:val="List bullet 2nd level"/>
    <w:basedOn w:val="Normal"/>
    <w:uiPriority w:val="99"/>
    <w:rsid w:val="00DF751F"/>
    <w:pPr>
      <w:numPr>
        <w:numId w:val="22"/>
      </w:numPr>
      <w:tabs>
        <w:tab w:val="left" w:pos="284"/>
        <w:tab w:val="left" w:pos="851"/>
      </w:tabs>
      <w:suppressAutoHyphens w:val="0"/>
      <w:spacing w:after="200" w:line="276" w:lineRule="auto"/>
      <w:jc w:val="left"/>
    </w:pPr>
    <w:rPr>
      <w:rFonts w:ascii="Calibri" w:hAnsi="Calibri"/>
      <w:color w:val="auto"/>
      <w:szCs w:val="23"/>
      <w:lang w:eastAsia="nl-NL"/>
    </w:rPr>
  </w:style>
  <w:style w:type="paragraph" w:customStyle="1" w:styleId="Listbullet3rdlevel">
    <w:name w:val="List bullet 3rd level"/>
    <w:basedOn w:val="Normal"/>
    <w:uiPriority w:val="99"/>
    <w:rsid w:val="00DF751F"/>
    <w:pPr>
      <w:numPr>
        <w:numId w:val="21"/>
      </w:numPr>
      <w:tabs>
        <w:tab w:val="left" w:pos="284"/>
        <w:tab w:val="left" w:pos="567"/>
      </w:tabs>
      <w:suppressAutoHyphens w:val="0"/>
      <w:spacing w:after="200" w:line="276" w:lineRule="auto"/>
      <w:jc w:val="left"/>
    </w:pPr>
    <w:rPr>
      <w:rFonts w:ascii="Calibri" w:hAnsi="Calibri"/>
      <w:color w:val="auto"/>
      <w:szCs w:val="23"/>
      <w:lang w:eastAsia="nl-NL"/>
    </w:rPr>
  </w:style>
  <w:style w:type="paragraph" w:customStyle="1" w:styleId="HalveregelIVM">
    <w:name w:val="Halve regel IVM"/>
    <w:aliases w:val="Half-line spacing IVM"/>
    <w:basedOn w:val="Normal"/>
    <w:next w:val="Normal"/>
    <w:uiPriority w:val="99"/>
    <w:rsid w:val="00DF751F"/>
    <w:pPr>
      <w:suppressAutoHyphens w:val="0"/>
      <w:spacing w:after="200" w:line="120" w:lineRule="exact"/>
      <w:jc w:val="left"/>
    </w:pPr>
    <w:rPr>
      <w:rFonts w:ascii="LucidaSansEF" w:hAnsi="LucidaSansEF"/>
      <w:color w:val="auto"/>
      <w:sz w:val="21"/>
      <w:szCs w:val="23"/>
      <w:lang w:eastAsia="nl-NL"/>
    </w:rPr>
  </w:style>
  <w:style w:type="paragraph" w:customStyle="1" w:styleId="CaptionFigure">
    <w:name w:val="Caption Figure"/>
    <w:basedOn w:val="Caption"/>
    <w:next w:val="Normal"/>
    <w:uiPriority w:val="99"/>
    <w:rsid w:val="00DF751F"/>
    <w:pPr>
      <w:pBdr>
        <w:top w:val="none" w:sz="0" w:space="0" w:color="auto"/>
        <w:left w:val="none" w:sz="0" w:space="0" w:color="auto"/>
        <w:bottom w:val="none" w:sz="0" w:space="0" w:color="auto"/>
        <w:right w:val="none" w:sz="0" w:space="0" w:color="auto"/>
      </w:pBdr>
      <w:shd w:val="clear" w:color="auto" w:fill="auto"/>
      <w:tabs>
        <w:tab w:val="left" w:pos="1134"/>
      </w:tabs>
      <w:suppressAutoHyphens w:val="0"/>
      <w:spacing w:before="0" w:afterLines="150" w:line="360" w:lineRule="auto"/>
      <w:ind w:left="1134" w:right="0" w:hanging="1134"/>
      <w:jc w:val="left"/>
    </w:pPr>
    <w:rPr>
      <w:rFonts w:ascii="Calibri" w:hAnsi="Calibri"/>
      <w:bCs/>
      <w:i/>
      <w:color w:val="auto"/>
      <w:sz w:val="22"/>
      <w:szCs w:val="23"/>
      <w:lang w:eastAsia="nl-NL"/>
    </w:rPr>
  </w:style>
  <w:style w:type="paragraph" w:customStyle="1" w:styleId="CaptionTable">
    <w:name w:val="Caption Table"/>
    <w:basedOn w:val="Normal"/>
    <w:next w:val="Normal"/>
    <w:uiPriority w:val="99"/>
    <w:rsid w:val="00DF751F"/>
    <w:pPr>
      <w:tabs>
        <w:tab w:val="left" w:pos="1134"/>
      </w:tabs>
      <w:suppressAutoHyphens w:val="0"/>
      <w:spacing w:beforeLines="150" w:afterLines="100" w:line="276" w:lineRule="auto"/>
      <w:ind w:left="1134" w:hanging="1134"/>
      <w:jc w:val="left"/>
    </w:pPr>
    <w:rPr>
      <w:rFonts w:ascii="Calibri" w:hAnsi="Calibri"/>
      <w:i/>
      <w:color w:val="auto"/>
      <w:szCs w:val="23"/>
      <w:lang w:eastAsia="nl-NL"/>
    </w:rPr>
  </w:style>
  <w:style w:type="paragraph" w:customStyle="1" w:styleId="Authorchapter">
    <w:name w:val="Author chapter"/>
    <w:basedOn w:val="Normal"/>
    <w:next w:val="Normal"/>
    <w:uiPriority w:val="99"/>
    <w:rsid w:val="00DF751F"/>
    <w:pPr>
      <w:suppressAutoHyphens w:val="0"/>
      <w:spacing w:afterLines="300" w:line="276" w:lineRule="auto"/>
      <w:ind w:left="737"/>
      <w:jc w:val="left"/>
    </w:pPr>
    <w:rPr>
      <w:rFonts w:ascii="Calibri" w:hAnsi="Calibri"/>
      <w:i/>
      <w:color w:val="auto"/>
      <w:sz w:val="28"/>
      <w:szCs w:val="22"/>
      <w:lang w:eastAsia="en-US"/>
    </w:rPr>
  </w:style>
  <w:style w:type="paragraph" w:customStyle="1" w:styleId="Half-linespacing">
    <w:name w:val="Half-line spacing"/>
    <w:basedOn w:val="Normal"/>
    <w:next w:val="Normal"/>
    <w:uiPriority w:val="99"/>
    <w:rsid w:val="00DF751F"/>
    <w:pPr>
      <w:suppressAutoHyphens w:val="0"/>
      <w:spacing w:after="200" w:line="120" w:lineRule="exact"/>
      <w:jc w:val="left"/>
    </w:pPr>
    <w:rPr>
      <w:rFonts w:ascii="Calibri" w:hAnsi="Calibri"/>
      <w:color w:val="auto"/>
      <w:sz w:val="21"/>
      <w:szCs w:val="23"/>
      <w:lang w:eastAsia="nl-NL"/>
    </w:rPr>
  </w:style>
  <w:style w:type="character" w:styleId="BookTitle">
    <w:name w:val="Book Title"/>
    <w:uiPriority w:val="99"/>
    <w:qFormat/>
    <w:rsid w:val="00DF751F"/>
    <w:rPr>
      <w:b/>
      <w:smallCaps/>
      <w:spacing w:val="5"/>
    </w:rPr>
  </w:style>
  <w:style w:type="paragraph" w:customStyle="1" w:styleId="Authors">
    <w:name w:val="Authors"/>
    <w:basedOn w:val="NormalIndent"/>
    <w:uiPriority w:val="99"/>
    <w:rsid w:val="00DF751F"/>
    <w:rPr>
      <w:sz w:val="24"/>
    </w:rPr>
  </w:style>
  <w:style w:type="table" w:customStyle="1" w:styleId="57">
    <w:name w:val="57"/>
    <w:uiPriority w:val="99"/>
    <w:rsid w:val="002F3ACC"/>
    <w:pPr>
      <w:widowControl w:val="0"/>
      <w:autoSpaceDE w:val="0"/>
      <w:autoSpaceDN w:val="0"/>
      <w:adjustRightInd w:val="0"/>
    </w:pPr>
    <w:rPr>
      <w:sz w:val="24"/>
      <w:szCs w:val="24"/>
      <w:lang w:val="en-IE" w:eastAsia="en-GB"/>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customStyle="1" w:styleId="Boxtext">
    <w:name w:val="Box text"/>
    <w:basedOn w:val="Normal"/>
    <w:uiPriority w:val="99"/>
    <w:rsid w:val="00DF751F"/>
    <w:pPr>
      <w:suppressAutoHyphens w:val="0"/>
      <w:spacing w:after="200" w:line="264" w:lineRule="auto"/>
      <w:jc w:val="left"/>
    </w:pPr>
    <w:rPr>
      <w:rFonts w:ascii="Calibri" w:hAnsi="Calibri"/>
      <w:color w:val="auto"/>
      <w:szCs w:val="24"/>
      <w:lang w:val="en-US" w:eastAsia="en-US"/>
    </w:rPr>
  </w:style>
  <w:style w:type="paragraph" w:customStyle="1" w:styleId="CaptionBox">
    <w:name w:val="Caption Box"/>
    <w:basedOn w:val="CaptionTable"/>
    <w:next w:val="Normal"/>
    <w:uiPriority w:val="99"/>
    <w:rsid w:val="00DF751F"/>
    <w:pPr>
      <w:tabs>
        <w:tab w:val="clear" w:pos="1134"/>
        <w:tab w:val="left" w:pos="964"/>
      </w:tabs>
      <w:spacing w:beforeLines="0" w:afterLines="0"/>
      <w:ind w:left="964" w:hanging="964"/>
    </w:pPr>
  </w:style>
  <w:style w:type="paragraph" w:customStyle="1" w:styleId="NormalIndent1">
    <w:name w:val="Normal Indent1"/>
    <w:basedOn w:val="Normal"/>
    <w:uiPriority w:val="99"/>
    <w:rsid w:val="00DF751F"/>
    <w:pPr>
      <w:suppressAutoHyphens w:val="0"/>
      <w:spacing w:after="200" w:line="276" w:lineRule="auto"/>
      <w:ind w:firstLine="340"/>
      <w:jc w:val="left"/>
    </w:pPr>
    <w:rPr>
      <w:rFonts w:ascii="Calibri" w:hAnsi="Calibri"/>
      <w:color w:val="auto"/>
      <w:szCs w:val="22"/>
      <w:lang w:eastAsia="en-US"/>
    </w:rPr>
  </w:style>
  <w:style w:type="table" w:customStyle="1" w:styleId="LightShading1">
    <w:name w:val="Light Shading1"/>
    <w:uiPriority w:val="99"/>
    <w:rsid w:val="00DF751F"/>
    <w:rPr>
      <w:rFonts w:ascii="Calibri" w:hAnsi="Calibri"/>
      <w:color w:val="434343"/>
      <w:sz w:val="21"/>
      <w:lang w:val="en-GB" w:eastAsia="en-GB"/>
    </w:rPr>
    <w:tblPr>
      <w:tblStyleRowBandSize w:val="1"/>
      <w:tblStyleColBandSize w:val="1"/>
      <w:tblInd w:w="0" w:type="dxa"/>
      <w:tblBorders>
        <w:top w:val="single" w:sz="8" w:space="0" w:color="5A5A5A"/>
        <w:bottom w:val="double" w:sz="4" w:space="0" w:color="auto"/>
      </w:tblBorders>
      <w:tblCellMar>
        <w:top w:w="0" w:type="dxa"/>
        <w:left w:w="108" w:type="dxa"/>
        <w:bottom w:w="0" w:type="dxa"/>
        <w:right w:w="108" w:type="dxa"/>
      </w:tblCellMar>
    </w:tblPr>
  </w:style>
  <w:style w:type="table" w:customStyle="1" w:styleId="TableCUP2">
    <w:name w:val="Table CUP2"/>
    <w:uiPriority w:val="99"/>
    <w:rsid w:val="00DF751F"/>
    <w:rPr>
      <w:rFonts w:ascii="Calibri" w:hAnsi="Calibri"/>
      <w:color w:val="434343"/>
      <w:sz w:val="21"/>
      <w:lang w:val="en-GB" w:eastAsia="en-GB"/>
    </w:rPr>
    <w:tblPr>
      <w:tblStyleRowBandSize w:val="1"/>
      <w:tblStyleColBandSize w:val="1"/>
      <w:tblInd w:w="0" w:type="dxa"/>
      <w:tblBorders>
        <w:top w:val="single" w:sz="8" w:space="0" w:color="5A5A5A"/>
        <w:bottom w:val="double" w:sz="4" w:space="0" w:color="auto"/>
      </w:tblBorders>
      <w:tblCellMar>
        <w:top w:w="0" w:type="dxa"/>
        <w:left w:w="108" w:type="dxa"/>
        <w:bottom w:w="0" w:type="dxa"/>
        <w:right w:w="108" w:type="dxa"/>
      </w:tblCellMar>
    </w:tblPr>
  </w:style>
  <w:style w:type="paragraph" w:customStyle="1" w:styleId="Boxbullet">
    <w:name w:val="Box bullet"/>
    <w:basedOn w:val="Listbullet1stlevel"/>
    <w:uiPriority w:val="99"/>
    <w:rsid w:val="00DF751F"/>
    <w:pPr>
      <w:numPr>
        <w:numId w:val="0"/>
      </w:numPr>
      <w:tabs>
        <w:tab w:val="clear" w:pos="284"/>
      </w:tabs>
      <w:spacing w:line="264" w:lineRule="auto"/>
      <w:ind w:right="113"/>
    </w:pPr>
    <w:rPr>
      <w:lang w:val="en-US"/>
    </w:rPr>
  </w:style>
  <w:style w:type="paragraph" w:customStyle="1" w:styleId="Boxtextindent">
    <w:name w:val="Box text indent"/>
    <w:basedOn w:val="Boxtext"/>
    <w:uiPriority w:val="99"/>
    <w:rsid w:val="00DF751F"/>
    <w:pPr>
      <w:ind w:firstLine="340"/>
    </w:pPr>
  </w:style>
  <w:style w:type="paragraph" w:styleId="NormalWeb">
    <w:name w:val="Normal (Web)"/>
    <w:basedOn w:val="Normal"/>
    <w:uiPriority w:val="99"/>
    <w:rsid w:val="00DF751F"/>
    <w:pPr>
      <w:suppressAutoHyphens w:val="0"/>
      <w:spacing w:before="100" w:beforeAutospacing="1" w:after="100" w:afterAutospacing="1" w:line="240" w:lineRule="auto"/>
      <w:jc w:val="left"/>
    </w:pPr>
    <w:rPr>
      <w:rFonts w:ascii="Times New Roman" w:hAnsi="Times New Roman"/>
      <w:color w:val="000000"/>
      <w:sz w:val="24"/>
      <w:szCs w:val="24"/>
      <w:lang w:val="en-US" w:eastAsia="en-US"/>
    </w:rPr>
  </w:style>
  <w:style w:type="paragraph" w:customStyle="1" w:styleId="BodytextAquamoney">
    <w:name w:val="Bodytext Aquamoney"/>
    <w:basedOn w:val="Normal"/>
    <w:uiPriority w:val="99"/>
    <w:rsid w:val="00DF751F"/>
    <w:pPr>
      <w:suppressAutoHyphens w:val="0"/>
      <w:spacing w:after="200" w:line="260" w:lineRule="atLeast"/>
      <w:jc w:val="left"/>
    </w:pPr>
    <w:rPr>
      <w:rFonts w:ascii="Futura-Normal" w:hAnsi="Futura-Normal"/>
      <w:color w:val="auto"/>
      <w:sz w:val="18"/>
      <w:szCs w:val="22"/>
      <w:lang w:eastAsia="nl-NL"/>
    </w:rPr>
  </w:style>
  <w:style w:type="paragraph" w:customStyle="1" w:styleId="Rvision">
    <w:name w:val="Révision"/>
    <w:hidden/>
    <w:uiPriority w:val="99"/>
    <w:semiHidden/>
    <w:rsid w:val="00427934"/>
    <w:rPr>
      <w:rFonts w:ascii="Arial" w:hAnsi="Arial"/>
      <w:sz w:val="22"/>
      <w:szCs w:val="24"/>
      <w:lang w:val="en-IE" w:eastAsia="en-GB"/>
    </w:rPr>
  </w:style>
  <w:style w:type="paragraph" w:styleId="BodyText2">
    <w:name w:val="Body Text 2"/>
    <w:basedOn w:val="Normal"/>
    <w:link w:val="BodyText2Char"/>
    <w:uiPriority w:val="99"/>
    <w:rsid w:val="00C637E3"/>
    <w:pPr>
      <w:suppressAutoHyphens w:val="0"/>
      <w:spacing w:after="0" w:line="240" w:lineRule="auto"/>
    </w:pPr>
    <w:rPr>
      <w:rFonts w:ascii="Times" w:hAnsi="Times"/>
      <w:color w:val="auto"/>
    </w:rPr>
  </w:style>
  <w:style w:type="character" w:customStyle="1" w:styleId="BodyText2Char">
    <w:name w:val="Body Text 2 Char"/>
    <w:link w:val="BodyText2"/>
    <w:uiPriority w:val="99"/>
    <w:locked/>
    <w:rsid w:val="00C637E3"/>
    <w:rPr>
      <w:rFonts w:ascii="Times" w:hAnsi="Times"/>
      <w:sz w:val="22"/>
      <w:lang w:val="en-GB"/>
    </w:rPr>
  </w:style>
  <w:style w:type="character" w:customStyle="1" w:styleId="ReferentiecursiefIVM">
    <w:name w:val="Referentie cursief IVM"/>
    <w:aliases w:val="Reference italic IVM"/>
    <w:uiPriority w:val="99"/>
    <w:rsid w:val="00C637E3"/>
    <w:rPr>
      <w:rFonts w:ascii="LucidaSansEF" w:hAnsi="LucidaSansEF"/>
      <w:i/>
      <w:sz w:val="20"/>
    </w:rPr>
  </w:style>
  <w:style w:type="character" w:styleId="Emphasis">
    <w:name w:val="Emphasis"/>
    <w:uiPriority w:val="99"/>
    <w:qFormat/>
    <w:rsid w:val="00C637E3"/>
    <w:rPr>
      <w:rFonts w:cs="Times New Roman"/>
      <w:i/>
      <w:sz w:val="24"/>
      <w:bdr w:val="none" w:sz="0" w:space="0" w:color="auto" w:frame="1"/>
      <w:vertAlign w:val="baseline"/>
    </w:rPr>
  </w:style>
  <w:style w:type="character" w:styleId="PlaceholderText">
    <w:name w:val="Placeholder Text"/>
    <w:uiPriority w:val="99"/>
    <w:rsid w:val="00C637E3"/>
    <w:rPr>
      <w:color w:val="808080"/>
    </w:rPr>
  </w:style>
  <w:style w:type="paragraph" w:styleId="Revision">
    <w:name w:val="Revision"/>
    <w:hidden/>
    <w:uiPriority w:val="99"/>
    <w:semiHidden/>
    <w:rsid w:val="006A03E4"/>
    <w:rPr>
      <w:rFonts w:ascii="Calibri" w:hAnsi="Calibri"/>
      <w:sz w:val="22"/>
      <w:szCs w:val="22"/>
    </w:rPr>
  </w:style>
  <w:style w:type="paragraph" w:customStyle="1" w:styleId="ti-doc-eph">
    <w:name w:val="ti-doc-eph"/>
    <w:basedOn w:val="Normal"/>
    <w:uiPriority w:val="99"/>
    <w:rsid w:val="006A03E4"/>
    <w:pPr>
      <w:suppressAutoHyphens w:val="0"/>
      <w:spacing w:before="100" w:beforeAutospacing="1" w:after="100" w:afterAutospacing="1" w:line="240" w:lineRule="auto"/>
      <w:jc w:val="left"/>
    </w:pPr>
    <w:rPr>
      <w:rFonts w:ascii="Times New Roman" w:hAnsi="Times New Roman"/>
      <w:color w:val="auto"/>
      <w:sz w:val="24"/>
      <w:szCs w:val="24"/>
    </w:rPr>
  </w:style>
  <w:style w:type="table" w:customStyle="1" w:styleId="IEEPStandard">
    <w:name w:val="IEEP Standard"/>
    <w:uiPriority w:val="99"/>
    <w:rsid w:val="008506B2"/>
    <w:pPr>
      <w:contextualSpacing/>
    </w:pPr>
    <w:rPr>
      <w:rFonts w:ascii="Calibri" w:hAnsi="Calibri"/>
      <w:lang w:val="en-GB" w:eastAsia="en-IE"/>
    </w:rPr>
    <w:tblPr>
      <w:tblInd w:w="0" w:type="dxa"/>
      <w:tblBorders>
        <w:top w:val="single" w:sz="12" w:space="0" w:color="2A3C22"/>
        <w:left w:val="single" w:sz="12" w:space="0" w:color="2A3C22"/>
        <w:bottom w:val="single" w:sz="12" w:space="0" w:color="2A3C22"/>
        <w:right w:val="single" w:sz="12" w:space="0" w:color="2A3C22"/>
        <w:insideH w:val="single" w:sz="8" w:space="0" w:color="2A3C22"/>
        <w:insideV w:val="single" w:sz="8" w:space="0" w:color="2A3C22"/>
      </w:tblBorders>
      <w:tblCellMar>
        <w:top w:w="0" w:type="dxa"/>
        <w:left w:w="108" w:type="dxa"/>
        <w:bottom w:w="0" w:type="dxa"/>
        <w:right w:w="108" w:type="dxa"/>
      </w:tblCellMar>
    </w:tbl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link w:val="Caption"/>
    <w:uiPriority w:val="99"/>
    <w:locked/>
    <w:rsid w:val="008506B2"/>
    <w:rPr>
      <w:rFonts w:ascii="Arial" w:hAnsi="Arial"/>
      <w:color w:val="404040"/>
      <w:shd w:val="clear" w:color="auto" w:fill="F2F2F2"/>
      <w:lang w:val="en-GB" w:eastAsia="en-GB"/>
    </w:rPr>
  </w:style>
  <w:style w:type="paragraph" w:styleId="EndnoteText">
    <w:name w:val="endnote text"/>
    <w:basedOn w:val="Normal"/>
    <w:link w:val="EndnoteTextChar"/>
    <w:uiPriority w:val="99"/>
    <w:rsid w:val="008506B2"/>
    <w:pPr>
      <w:suppressAutoHyphens w:val="0"/>
      <w:spacing w:after="0" w:line="240" w:lineRule="auto"/>
      <w:jc w:val="left"/>
    </w:pPr>
    <w:rPr>
      <w:rFonts w:ascii="Calibri" w:hAnsi="Calibri"/>
      <w:color w:val="auto"/>
      <w:sz w:val="20"/>
    </w:rPr>
  </w:style>
  <w:style w:type="character" w:customStyle="1" w:styleId="EndnoteTextChar">
    <w:name w:val="Endnote Text Char"/>
    <w:link w:val="EndnoteText"/>
    <w:uiPriority w:val="99"/>
    <w:locked/>
    <w:rsid w:val="008506B2"/>
    <w:rPr>
      <w:rFonts w:ascii="Calibri" w:hAnsi="Calibri"/>
      <w:lang w:val="en-GB"/>
    </w:rPr>
  </w:style>
  <w:style w:type="character" w:customStyle="1" w:styleId="A7">
    <w:name w:val="A7"/>
    <w:uiPriority w:val="99"/>
    <w:rsid w:val="008506B2"/>
    <w:rPr>
      <w:color w:val="000000"/>
      <w:sz w:val="19"/>
    </w:rPr>
  </w:style>
  <w:style w:type="character" w:styleId="Strong">
    <w:name w:val="Strong"/>
    <w:uiPriority w:val="99"/>
    <w:qFormat/>
    <w:rsid w:val="008506B2"/>
    <w:rPr>
      <w:rFonts w:cs="Times New Roman"/>
      <w:b/>
    </w:rPr>
  </w:style>
  <w:style w:type="character" w:styleId="HTMLCite">
    <w:name w:val="HTML Cite"/>
    <w:uiPriority w:val="99"/>
    <w:semiHidden/>
    <w:locked/>
    <w:rsid w:val="00E55058"/>
    <w:rPr>
      <w:rFonts w:cs="Times New Roman"/>
      <w:i/>
    </w:rPr>
  </w:style>
  <w:style w:type="character" w:styleId="LineNumber">
    <w:name w:val="line number"/>
    <w:uiPriority w:val="99"/>
    <w:semiHidden/>
    <w:locked/>
    <w:rsid w:val="00E55058"/>
    <w:rPr>
      <w:rFonts w:cs="Times New Roman"/>
    </w:rPr>
  </w:style>
  <w:style w:type="character" w:customStyle="1" w:styleId="pagecontents1">
    <w:name w:val="pagecontents1"/>
    <w:uiPriority w:val="99"/>
    <w:rsid w:val="00E55058"/>
    <w:rPr>
      <w:rFonts w:ascii="Arial" w:hAnsi="Arial"/>
      <w:color w:val="000000"/>
      <w:sz w:val="18"/>
    </w:rPr>
  </w:style>
  <w:style w:type="table" w:customStyle="1" w:styleId="LightList1">
    <w:name w:val="Light List1"/>
    <w:uiPriority w:val="99"/>
    <w:rsid w:val="00E55058"/>
    <w:rPr>
      <w:rFonts w:ascii="Arial" w:hAnsi="Arial"/>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tblBorders>
      <w:tblCellMar>
        <w:top w:w="0" w:type="dxa"/>
        <w:left w:w="108" w:type="dxa"/>
        <w:bottom w:w="0" w:type="dxa"/>
        <w:right w:w="108" w:type="dxa"/>
      </w:tblCellMar>
    </w:tblPr>
  </w:style>
  <w:style w:type="paragraph" w:styleId="Quote">
    <w:name w:val="Quote"/>
    <w:basedOn w:val="Normal"/>
    <w:next w:val="Normal"/>
    <w:link w:val="QuoteChar"/>
    <w:uiPriority w:val="99"/>
    <w:qFormat/>
    <w:rsid w:val="00E55058"/>
    <w:pPr>
      <w:suppressAutoHyphens w:val="0"/>
      <w:spacing w:after="200" w:line="276" w:lineRule="auto"/>
      <w:jc w:val="left"/>
    </w:pPr>
    <w:rPr>
      <w:i/>
      <w:iCs/>
      <w:color w:val="58595B"/>
      <w:szCs w:val="22"/>
      <w:lang w:val="en-US" w:eastAsia="en-US"/>
    </w:rPr>
  </w:style>
  <w:style w:type="character" w:customStyle="1" w:styleId="QuoteChar">
    <w:name w:val="Quote Char"/>
    <w:link w:val="Quote"/>
    <w:uiPriority w:val="99"/>
    <w:locked/>
    <w:rsid w:val="00E55058"/>
    <w:rPr>
      <w:rFonts w:ascii="Arial" w:hAnsi="Arial"/>
      <w:i/>
      <w:color w:val="58595B"/>
      <w:sz w:val="22"/>
      <w:lang w:val="en-US" w:eastAsia="en-US"/>
    </w:rPr>
  </w:style>
  <w:style w:type="paragraph" w:styleId="IntenseQuote">
    <w:name w:val="Intense Quote"/>
    <w:basedOn w:val="Normal"/>
    <w:next w:val="Normal"/>
    <w:link w:val="IntenseQuoteChar"/>
    <w:uiPriority w:val="99"/>
    <w:qFormat/>
    <w:rsid w:val="00E55058"/>
    <w:pPr>
      <w:pBdr>
        <w:bottom w:val="single" w:sz="4" w:space="4" w:color="683A76"/>
      </w:pBdr>
      <w:suppressAutoHyphens w:val="0"/>
      <w:spacing w:before="200" w:after="280" w:line="276" w:lineRule="auto"/>
      <w:ind w:left="936" w:right="936"/>
      <w:jc w:val="left"/>
    </w:pPr>
    <w:rPr>
      <w:b/>
      <w:bCs/>
      <w:i/>
      <w:iCs/>
      <w:color w:val="683A76"/>
      <w:szCs w:val="22"/>
      <w:lang w:val="en-US" w:eastAsia="en-US"/>
    </w:rPr>
  </w:style>
  <w:style w:type="character" w:customStyle="1" w:styleId="IntenseQuoteChar">
    <w:name w:val="Intense Quote Char"/>
    <w:link w:val="IntenseQuote"/>
    <w:uiPriority w:val="99"/>
    <w:locked/>
    <w:rsid w:val="00E55058"/>
    <w:rPr>
      <w:rFonts w:ascii="Arial" w:hAnsi="Arial"/>
      <w:b/>
      <w:i/>
      <w:color w:val="683A76"/>
      <w:sz w:val="22"/>
      <w:lang w:val="en-US" w:eastAsia="en-US"/>
    </w:rPr>
  </w:style>
  <w:style w:type="table" w:customStyle="1" w:styleId="LightList2">
    <w:name w:val="Light List2"/>
    <w:uiPriority w:val="99"/>
    <w:rsid w:val="00E55058"/>
    <w:rPr>
      <w:rFonts w:ascii="Arial" w:hAnsi="Arial"/>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tblBorders>
      <w:tblCellMar>
        <w:top w:w="0" w:type="dxa"/>
        <w:left w:w="108" w:type="dxa"/>
        <w:bottom w:w="0" w:type="dxa"/>
        <w:right w:w="108" w:type="dxa"/>
      </w:tblCellMar>
    </w:tblPr>
  </w:style>
  <w:style w:type="table" w:customStyle="1" w:styleId="MediumGrid21">
    <w:name w:val="Medium Grid 21"/>
    <w:uiPriority w:val="99"/>
    <w:rsid w:val="00E55058"/>
    <w:rPr>
      <w:rFonts w:ascii="Arial" w:hAnsi="Arial"/>
      <w:color w:val="58595B"/>
      <w:lang w:val="en-IE" w:eastAsia="en-IE"/>
    </w:rPr>
    <w:tblPr>
      <w:tblStyleRowBandSize w:val="1"/>
      <w:tblStyleColBandSize w:val="1"/>
      <w:tblInd w:w="0" w:type="dxa"/>
      <w:tblBorders>
        <w:top w:val="single" w:sz="8" w:space="0" w:color="58595B"/>
        <w:left w:val="single" w:sz="8" w:space="0" w:color="58595B"/>
        <w:bottom w:val="single" w:sz="8" w:space="0" w:color="58595B"/>
        <w:right w:val="single" w:sz="8" w:space="0" w:color="58595B"/>
        <w:insideH w:val="single" w:sz="8" w:space="0" w:color="58595B"/>
        <w:insideV w:val="single" w:sz="8" w:space="0" w:color="58595B"/>
      </w:tblBorders>
      <w:tblCellMar>
        <w:top w:w="0" w:type="dxa"/>
        <w:left w:w="108" w:type="dxa"/>
        <w:bottom w:w="0" w:type="dxa"/>
        <w:right w:w="108" w:type="dxa"/>
      </w:tblCellMar>
    </w:tblPr>
    <w:tcPr>
      <w:shd w:val="clear" w:color="auto" w:fill="D5D5D6"/>
    </w:tcPr>
  </w:style>
  <w:style w:type="table" w:styleId="LightShading">
    <w:name w:val="Light Shading"/>
    <w:basedOn w:val="TableNormal"/>
    <w:uiPriority w:val="99"/>
    <w:rsid w:val="00E55058"/>
    <w:rPr>
      <w:rFonts w:ascii="Arial" w:hAnsi="Arial"/>
      <w:color w:val="424244"/>
    </w:rPr>
    <w:tblPr>
      <w:tblStyleRowBandSize w:val="1"/>
      <w:tblStyleColBandSize w:val="1"/>
      <w:tblBorders>
        <w:top w:val="single" w:sz="8" w:space="0" w:color="58595B"/>
        <w:bottom w:val="single" w:sz="8" w:space="0" w:color="58595B"/>
      </w:tblBorders>
    </w:tblPr>
    <w:tblStylePr w:type="firstRow">
      <w:pPr>
        <w:spacing w:before="0" w:after="0"/>
      </w:pPr>
      <w:rPr>
        <w:rFonts w:cs="Times New Roman"/>
        <w:b/>
        <w:bCs/>
      </w:rPr>
      <w:tblPr/>
      <w:tcPr>
        <w:tcBorders>
          <w:top w:val="single" w:sz="8" w:space="0" w:color="58595B"/>
          <w:left w:val="nil"/>
          <w:bottom w:val="single" w:sz="8" w:space="0" w:color="58595B"/>
          <w:right w:val="nil"/>
          <w:insideH w:val="nil"/>
          <w:insideV w:val="nil"/>
        </w:tcBorders>
      </w:tcPr>
    </w:tblStylePr>
    <w:tblStylePr w:type="lastRow">
      <w:pPr>
        <w:spacing w:before="0" w:after="0"/>
      </w:pPr>
      <w:rPr>
        <w:rFonts w:cs="Times New Roman"/>
        <w:b/>
        <w:bCs/>
      </w:rPr>
      <w:tblPr/>
      <w:tcPr>
        <w:tcBorders>
          <w:top w:val="single" w:sz="8" w:space="0" w:color="58595B"/>
          <w:left w:val="nil"/>
          <w:bottom w:val="single" w:sz="8" w:space="0" w:color="58595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5D5D6"/>
      </w:tcPr>
    </w:tblStylePr>
    <w:tblStylePr w:type="band1Horz">
      <w:rPr>
        <w:rFonts w:cs="Times New Roman"/>
      </w:rPr>
      <w:tblPr/>
      <w:tcPr>
        <w:tcBorders>
          <w:left w:val="nil"/>
          <w:right w:val="nil"/>
          <w:insideH w:val="nil"/>
          <w:insideV w:val="nil"/>
        </w:tcBorders>
        <w:shd w:val="clear" w:color="auto" w:fill="D5D5D6"/>
      </w:tcPr>
    </w:tblStylePr>
  </w:style>
  <w:style w:type="paragraph" w:styleId="HTMLPreformatted">
    <w:name w:val="HTML Preformatted"/>
    <w:basedOn w:val="Normal"/>
    <w:link w:val="HTMLPreformattedChar"/>
    <w:uiPriority w:val="99"/>
    <w:semiHidden/>
    <w:locked/>
    <w:rsid w:val="00E55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color w:val="auto"/>
      <w:sz w:val="20"/>
      <w:lang w:val="nl-NL" w:eastAsia="nl-NL"/>
    </w:rPr>
  </w:style>
  <w:style w:type="character" w:customStyle="1" w:styleId="HTMLPreformattedChar">
    <w:name w:val="HTML Preformatted Char"/>
    <w:link w:val="HTMLPreformatted"/>
    <w:uiPriority w:val="99"/>
    <w:semiHidden/>
    <w:locked/>
    <w:rsid w:val="00E55058"/>
    <w:rPr>
      <w:rFonts w:ascii="Courier New" w:hAnsi="Courier New"/>
      <w:lang w:val="nl-NL" w:eastAsia="nl-NL"/>
    </w:rPr>
  </w:style>
  <w:style w:type="character" w:customStyle="1" w:styleId="slug-doi">
    <w:name w:val="slug-doi"/>
    <w:uiPriority w:val="99"/>
    <w:rsid w:val="00E55058"/>
  </w:style>
  <w:style w:type="paragraph" w:styleId="NoSpacing">
    <w:name w:val="No Spacing"/>
    <w:uiPriority w:val="99"/>
    <w:qFormat/>
    <w:rsid w:val="00E55058"/>
    <w:rPr>
      <w:rFonts w:ascii="Calibri" w:hAnsi="Calibri"/>
      <w:sz w:val="22"/>
      <w:szCs w:val="22"/>
      <w:lang w:val="en-IE"/>
    </w:rPr>
  </w:style>
  <w:style w:type="paragraph" w:customStyle="1" w:styleId="EndNoteBibliography">
    <w:name w:val="EndNote Bibliography"/>
    <w:basedOn w:val="Normal"/>
    <w:link w:val="EndNoteBibliographyZchn"/>
    <w:uiPriority w:val="99"/>
    <w:rsid w:val="00A75D5D"/>
    <w:pPr>
      <w:suppressAutoHyphens w:val="0"/>
      <w:spacing w:after="200" w:line="240" w:lineRule="auto"/>
      <w:jc w:val="left"/>
    </w:pPr>
    <w:rPr>
      <w:rFonts w:ascii="Calibri" w:hAnsi="Calibri"/>
      <w:noProof/>
      <w:color w:val="auto"/>
      <w:szCs w:val="22"/>
      <w:lang w:val="en-US" w:eastAsia="en-US"/>
    </w:rPr>
  </w:style>
  <w:style w:type="character" w:customStyle="1" w:styleId="EndNoteBibliographyZchn">
    <w:name w:val="EndNote Bibliography Zchn"/>
    <w:link w:val="EndNoteBibliography"/>
    <w:uiPriority w:val="99"/>
    <w:locked/>
    <w:rsid w:val="00A75D5D"/>
    <w:rPr>
      <w:rFonts w:ascii="Calibri" w:hAnsi="Calibri"/>
      <w:noProof/>
      <w:sz w:val="22"/>
      <w:lang w:val="en-US" w:eastAsia="en-US"/>
    </w:rPr>
  </w:style>
  <w:style w:type="numbering" w:customStyle="1" w:styleId="OpsommingletterIVM">
    <w:name w:val="Opsomming letter IVM"/>
    <w:aliases w:val="List character IVM"/>
    <w:rsid w:val="00350FFE"/>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972489">
      <w:marLeft w:val="0"/>
      <w:marRight w:val="0"/>
      <w:marTop w:val="0"/>
      <w:marBottom w:val="0"/>
      <w:divBdr>
        <w:top w:val="none" w:sz="0" w:space="0" w:color="auto"/>
        <w:left w:val="none" w:sz="0" w:space="0" w:color="auto"/>
        <w:bottom w:val="none" w:sz="0" w:space="0" w:color="auto"/>
        <w:right w:val="none" w:sz="0" w:space="0" w:color="auto"/>
      </w:divBdr>
      <w:divsChild>
        <w:div w:id="1682972487">
          <w:marLeft w:val="0"/>
          <w:marRight w:val="0"/>
          <w:marTop w:val="0"/>
          <w:marBottom w:val="0"/>
          <w:divBdr>
            <w:top w:val="none" w:sz="0" w:space="0" w:color="auto"/>
            <w:left w:val="none" w:sz="0" w:space="0" w:color="auto"/>
            <w:bottom w:val="none" w:sz="0" w:space="0" w:color="auto"/>
            <w:right w:val="none" w:sz="0" w:space="0" w:color="auto"/>
          </w:divBdr>
        </w:div>
        <w:div w:id="1682972488">
          <w:marLeft w:val="0"/>
          <w:marRight w:val="0"/>
          <w:marTop w:val="0"/>
          <w:marBottom w:val="0"/>
          <w:divBdr>
            <w:top w:val="none" w:sz="0" w:space="0" w:color="auto"/>
            <w:left w:val="none" w:sz="0" w:space="0" w:color="auto"/>
            <w:bottom w:val="none" w:sz="0" w:space="0" w:color="auto"/>
            <w:right w:val="none" w:sz="0" w:space="0" w:color="auto"/>
          </w:divBdr>
        </w:div>
        <w:div w:id="1682972492">
          <w:marLeft w:val="0"/>
          <w:marRight w:val="0"/>
          <w:marTop w:val="0"/>
          <w:marBottom w:val="0"/>
          <w:divBdr>
            <w:top w:val="none" w:sz="0" w:space="0" w:color="auto"/>
            <w:left w:val="none" w:sz="0" w:space="0" w:color="auto"/>
            <w:bottom w:val="none" w:sz="0" w:space="0" w:color="auto"/>
            <w:right w:val="none" w:sz="0" w:space="0" w:color="auto"/>
          </w:divBdr>
        </w:div>
      </w:divsChild>
    </w:div>
    <w:div w:id="1682972490">
      <w:marLeft w:val="0"/>
      <w:marRight w:val="0"/>
      <w:marTop w:val="0"/>
      <w:marBottom w:val="0"/>
      <w:divBdr>
        <w:top w:val="none" w:sz="0" w:space="0" w:color="auto"/>
        <w:left w:val="none" w:sz="0" w:space="0" w:color="auto"/>
        <w:bottom w:val="none" w:sz="0" w:space="0" w:color="auto"/>
        <w:right w:val="none" w:sz="0" w:space="0" w:color="auto"/>
      </w:divBdr>
      <w:divsChild>
        <w:div w:id="1682972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dx.doi.org/10.1016/j.landurbplan.2011.11.00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operas-project.eu"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dx.doi.org/10.1016/j.ecoleng.2013.03.006" TargetMode="Externa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dx.doi.org/10.1016/j.ecoleng.2012.12.10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119</Pages>
  <Words>123758</Words>
  <Characters>705425</Characters>
  <Application>Microsoft Office Word</Application>
  <DocSecurity>0</DocSecurity>
  <Lines>5878</Lines>
  <Paragraphs>1655</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Vrije Universiteit Amsterdam</Company>
  <LinksUpToDate>false</LinksUpToDate>
  <CharactersWithSpaces>827528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lastModifiedBy>Deirdre Joyce</cp:lastModifiedBy>
  <cp:revision>5</cp:revision>
  <cp:lastPrinted>2014-09-24T09:54:00Z</cp:lastPrinted>
  <dcterms:created xsi:type="dcterms:W3CDTF">2016-10-25T14:57:00Z</dcterms:created>
  <dcterms:modified xsi:type="dcterms:W3CDTF">2016-10-25T15:21:00Z</dcterms:modified>
</cp:coreProperties>
</file>